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D3ED1" w14:textId="506F07A9" w:rsidR="00C458CA" w:rsidRDefault="00C458CA" w:rsidP="00C458CA">
      <w:pPr>
        <w:ind w:left="720" w:hanging="360"/>
        <w:jc w:val="center"/>
        <w:rPr>
          <w:b/>
          <w:bCs/>
          <w:u w:val="single"/>
        </w:rPr>
      </w:pPr>
      <w:r>
        <w:rPr>
          <w:b/>
          <w:bCs/>
          <w:u w:val="single"/>
        </w:rPr>
        <w:t xml:space="preserve">Meeting </w:t>
      </w:r>
      <w:r w:rsidR="00E8660B">
        <w:rPr>
          <w:b/>
          <w:bCs/>
          <w:u w:val="single"/>
        </w:rPr>
        <w:t xml:space="preserve">With </w:t>
      </w:r>
      <w:r w:rsidR="005F2893">
        <w:rPr>
          <w:b/>
          <w:bCs/>
          <w:u w:val="single"/>
        </w:rPr>
        <w:t xml:space="preserve">the </w:t>
      </w:r>
      <w:r w:rsidR="00E8660B">
        <w:rPr>
          <w:b/>
          <w:bCs/>
          <w:u w:val="single"/>
        </w:rPr>
        <w:t xml:space="preserve">Office of Management </w:t>
      </w:r>
      <w:r w:rsidR="00256DB0">
        <w:rPr>
          <w:b/>
          <w:bCs/>
          <w:u w:val="single"/>
        </w:rPr>
        <w:t>and Budget</w:t>
      </w:r>
      <w:r w:rsidR="00E81EAF">
        <w:rPr>
          <w:b/>
          <w:bCs/>
          <w:u w:val="single"/>
        </w:rPr>
        <w:t xml:space="preserve"> to Discuss</w:t>
      </w:r>
      <w:r w:rsidR="00DB1814">
        <w:rPr>
          <w:b/>
          <w:bCs/>
          <w:u w:val="single"/>
        </w:rPr>
        <w:t xml:space="preserve"> Proposed Rulemaking:</w:t>
      </w:r>
    </w:p>
    <w:p w14:paraId="45BC1AAA" w14:textId="10D71A65" w:rsidR="00256DB0" w:rsidRPr="00DB1814" w:rsidRDefault="00864C0A" w:rsidP="00C458CA">
      <w:pPr>
        <w:ind w:left="720" w:hanging="360"/>
        <w:jc w:val="center"/>
        <w:rPr>
          <w:b/>
          <w:bCs/>
          <w:i/>
          <w:iCs/>
          <w:color w:val="000000" w:themeColor="text1"/>
          <w:u w:val="single"/>
        </w:rPr>
      </w:pPr>
      <w:r w:rsidRPr="00DB1814">
        <w:rPr>
          <w:b/>
          <w:bCs/>
          <w:i/>
          <w:iCs/>
          <w:color w:val="000000" w:themeColor="text1"/>
          <w:shd w:val="clear" w:color="auto" w:fill="F8F8F8"/>
        </w:rPr>
        <w:t>Definition of Employer Under Section 3(5) of ERISA-Association Health Plans</w:t>
      </w:r>
    </w:p>
    <w:p w14:paraId="20871781" w14:textId="77777777" w:rsidR="008C1E9C" w:rsidRDefault="008C1E9C" w:rsidP="008C1E9C">
      <w:pPr>
        <w:rPr>
          <w:b/>
        </w:rPr>
      </w:pPr>
    </w:p>
    <w:p w14:paraId="01A09179" w14:textId="422DC922" w:rsidR="009F026D" w:rsidRPr="00306E80" w:rsidRDefault="009F026D" w:rsidP="001B2A1B">
      <w:pPr>
        <w:ind w:firstLine="720"/>
        <w:rPr>
          <w:color w:val="000000" w:themeColor="text1"/>
        </w:rPr>
      </w:pPr>
      <w:r w:rsidRPr="00DA06AD">
        <w:t>The Coalition to Protect and Promote Association Health Plans (the “AHP Coalition”)</w:t>
      </w:r>
      <w:r>
        <w:rPr>
          <w:rStyle w:val="FootnoteReference"/>
        </w:rPr>
        <w:footnoteReference w:id="1"/>
      </w:r>
      <w:r>
        <w:t xml:space="preserve"> </w:t>
      </w:r>
      <w:r w:rsidRPr="00DA06AD">
        <w:t xml:space="preserve">respectfully submits </w:t>
      </w:r>
      <w:r>
        <w:t>the</w:t>
      </w:r>
      <w:r w:rsidRPr="00306E80">
        <w:rPr>
          <w:color w:val="000000" w:themeColor="text1"/>
        </w:rPr>
        <w:t xml:space="preserve"> following information in advance of our meeting with the Office of Management and Budget to discuss proposed rulemaking on the </w:t>
      </w:r>
      <w:r w:rsidRPr="00306E80">
        <w:rPr>
          <w:color w:val="000000" w:themeColor="text1"/>
          <w:shd w:val="clear" w:color="auto" w:fill="F8F8F8"/>
        </w:rPr>
        <w:t xml:space="preserve">Definition of Employer Under Section 3(5) of ERISA-Association Health Plans, </w:t>
      </w:r>
      <w:r w:rsidRPr="00306E80">
        <w:rPr>
          <w:rFonts w:eastAsia="Times New Roman"/>
          <w:color w:val="000000" w:themeColor="text1"/>
          <w:shd w:val="clear" w:color="auto" w:fill="F8F8F8"/>
        </w:rPr>
        <w:t>RIN:  1210-AC16</w:t>
      </w:r>
      <w:r w:rsidR="008C1E9C" w:rsidRPr="00306E80">
        <w:rPr>
          <w:rFonts w:eastAsia="Times New Roman"/>
          <w:color w:val="000000" w:themeColor="text1"/>
          <w:shd w:val="clear" w:color="auto" w:fill="F8F8F8"/>
        </w:rPr>
        <w:t>.</w:t>
      </w:r>
    </w:p>
    <w:p w14:paraId="35F48BB6" w14:textId="77777777" w:rsidR="009F026D" w:rsidRPr="00B62D05" w:rsidRDefault="009F026D" w:rsidP="009F026D">
      <w:pPr>
        <w:rPr>
          <w:b/>
        </w:rPr>
      </w:pPr>
    </w:p>
    <w:p w14:paraId="6EB400FC" w14:textId="052D4428" w:rsidR="0082352F" w:rsidRPr="00F518BA" w:rsidRDefault="0082352F" w:rsidP="0082352F">
      <w:pPr>
        <w:pStyle w:val="ListParagraph"/>
        <w:numPr>
          <w:ilvl w:val="0"/>
          <w:numId w:val="13"/>
        </w:numPr>
        <w:autoSpaceDE w:val="0"/>
        <w:autoSpaceDN w:val="0"/>
        <w:adjustRightInd w:val="0"/>
        <w:spacing w:after="0"/>
        <w:rPr>
          <w:rFonts w:ascii="Times New Roman" w:hAnsi="Times New Roman" w:cs="Times New Roman"/>
          <w:b/>
          <w:bCs/>
          <w:i/>
          <w:iCs/>
          <w:sz w:val="24"/>
          <w:szCs w:val="24"/>
        </w:rPr>
      </w:pPr>
      <w:r w:rsidRPr="00F518BA">
        <w:rPr>
          <w:rFonts w:ascii="Times New Roman" w:hAnsi="Times New Roman" w:cs="Times New Roman"/>
          <w:b/>
          <w:bCs/>
          <w:i/>
          <w:iCs/>
          <w:sz w:val="24"/>
          <w:szCs w:val="24"/>
        </w:rPr>
        <w:t>Overview</w:t>
      </w:r>
    </w:p>
    <w:p w14:paraId="0A96B0B9" w14:textId="77777777" w:rsidR="0082352F" w:rsidRPr="00F518BA" w:rsidRDefault="0082352F" w:rsidP="0082352F">
      <w:pPr>
        <w:autoSpaceDE w:val="0"/>
        <w:autoSpaceDN w:val="0"/>
        <w:adjustRightInd w:val="0"/>
      </w:pPr>
    </w:p>
    <w:p w14:paraId="51A4BA50" w14:textId="77777777" w:rsidR="00A17219" w:rsidRDefault="00FD0C36" w:rsidP="00287BC4">
      <w:pPr>
        <w:autoSpaceDE w:val="0"/>
        <w:autoSpaceDN w:val="0"/>
        <w:adjustRightInd w:val="0"/>
        <w:ind w:firstLine="720"/>
      </w:pPr>
      <w:r>
        <w:t>Ever since</w:t>
      </w:r>
      <w:r w:rsidR="0082352F" w:rsidRPr="00DA06AD">
        <w:t xml:space="preserve"> its formation in August 2018, the AHP Coalition has been working tirelessly to correct-the-record</w:t>
      </w:r>
      <w:r w:rsidR="0082352F">
        <w:t>.</w:t>
      </w:r>
      <w:r w:rsidR="0082352F">
        <w:rPr>
          <w:rStyle w:val="FootnoteReference"/>
        </w:rPr>
        <w:footnoteReference w:id="2"/>
      </w:r>
      <w:r w:rsidR="0082352F" w:rsidRPr="00DA06AD">
        <w:t xml:space="preserve"> </w:t>
      </w:r>
      <w:r w:rsidR="0082352F">
        <w:t xml:space="preserve"> </w:t>
      </w:r>
      <w:r w:rsidR="0082352F" w:rsidRPr="00DA06AD">
        <w:t xml:space="preserve">Specifically, contrary to what critics are saying, Association Health Plans (AHPs) are </w:t>
      </w:r>
      <w:r w:rsidR="0082352F" w:rsidRPr="00DA06AD">
        <w:rPr>
          <w:i/>
          <w:iCs/>
        </w:rPr>
        <w:t>not</w:t>
      </w:r>
      <w:r w:rsidR="0082352F" w:rsidRPr="00DA06AD">
        <w:t xml:space="preserve"> an “end-run around” the Affordable Care Act (ACA).  Quite to the opposite.  AHPs are currently offering better coverage than ACA-compliant “small group” and “individual” market plans.  </w:t>
      </w:r>
    </w:p>
    <w:p w14:paraId="1F0EC9B3" w14:textId="77777777" w:rsidR="00A17219" w:rsidRDefault="00A17219" w:rsidP="00287BC4">
      <w:pPr>
        <w:autoSpaceDE w:val="0"/>
        <w:autoSpaceDN w:val="0"/>
        <w:adjustRightInd w:val="0"/>
        <w:ind w:firstLine="720"/>
      </w:pPr>
    </w:p>
    <w:p w14:paraId="605AA2E3" w14:textId="378C5E6A" w:rsidR="0082352F" w:rsidRPr="00DA06AD" w:rsidRDefault="0082352F" w:rsidP="00287BC4">
      <w:pPr>
        <w:autoSpaceDE w:val="0"/>
        <w:autoSpaceDN w:val="0"/>
        <w:adjustRightInd w:val="0"/>
        <w:ind w:firstLine="720"/>
      </w:pPr>
      <w:r w:rsidRPr="00DA06AD">
        <w:t xml:space="preserve">How do they do that?  </w:t>
      </w:r>
    </w:p>
    <w:p w14:paraId="1027C1AC" w14:textId="77777777" w:rsidR="0082352F" w:rsidRPr="00294486" w:rsidRDefault="0082352F" w:rsidP="0082352F"/>
    <w:p w14:paraId="603DA9D7" w14:textId="09E2AA3E" w:rsidR="0082352F" w:rsidRPr="00DA06AD" w:rsidRDefault="0082352F" w:rsidP="0082352F">
      <w:pPr>
        <w:ind w:firstLine="720"/>
      </w:pPr>
      <w:r w:rsidRPr="00DA06AD">
        <w:t xml:space="preserve">AHPs are </w:t>
      </w:r>
      <w:r w:rsidRPr="00DA06AD">
        <w:rPr>
          <w:i/>
          <w:iCs/>
        </w:rPr>
        <w:t>voluntarily</w:t>
      </w:r>
      <w:r w:rsidRPr="00DA06AD">
        <w:t xml:space="preserve"> covering all ten of the ACA’s “essential health benefits” (EHBs), including pediatric </w:t>
      </w:r>
      <w:r>
        <w:t>major medical coverage</w:t>
      </w:r>
      <w:r w:rsidRPr="00DA06AD">
        <w:t xml:space="preserve">.  AHPs also cover pediatric dental and vision services either through their AHP insurance contract or through a stand-alone product.  </w:t>
      </w:r>
    </w:p>
    <w:p w14:paraId="38A98C73" w14:textId="77777777" w:rsidR="0082352F" w:rsidRPr="00294486" w:rsidRDefault="0082352F" w:rsidP="0082352F">
      <w:pPr>
        <w:pStyle w:val="ListParagraph"/>
        <w:spacing w:after="0" w:line="240" w:lineRule="auto"/>
        <w:rPr>
          <w:rFonts w:ascii="Times New Roman" w:hAnsi="Times New Roman" w:cs="Times New Roman"/>
          <w:sz w:val="24"/>
          <w:szCs w:val="24"/>
        </w:rPr>
      </w:pPr>
    </w:p>
    <w:p w14:paraId="5B7DEE78" w14:textId="77777777" w:rsidR="0082352F" w:rsidRPr="00DA06AD" w:rsidRDefault="0082352F" w:rsidP="0082352F">
      <w:pPr>
        <w:ind w:firstLine="720"/>
      </w:pPr>
      <w:r w:rsidRPr="00DA06AD">
        <w:t xml:space="preserve">In addition, AHPs offer broader “health care provider networks” relative to many existing ACA </w:t>
      </w:r>
      <w:r>
        <w:t>“</w:t>
      </w:r>
      <w:r w:rsidRPr="00DA06AD">
        <w:t>small group</w:t>
      </w:r>
      <w:r>
        <w:t>”</w:t>
      </w:r>
      <w:r w:rsidRPr="00DA06AD">
        <w:t xml:space="preserve"> and </w:t>
      </w:r>
      <w:r>
        <w:t>“</w:t>
      </w:r>
      <w:r w:rsidRPr="00DA06AD">
        <w:t>individual</w:t>
      </w:r>
      <w:r>
        <w:t>”</w:t>
      </w:r>
      <w:r w:rsidRPr="00DA06AD">
        <w:t xml:space="preserve"> market plans, and they are priced at an “actuarially fair premium” for both young and old AHP participants.  Doing so encourages more young and healthy individuals to enroll in AHP health coverage, which in turn benefits older and less healthy AHP participants by increasing the size of, and balancing out, the risk pool.  </w:t>
      </w:r>
    </w:p>
    <w:p w14:paraId="09325181" w14:textId="77777777" w:rsidR="0082352F" w:rsidRPr="00294486" w:rsidRDefault="0082352F" w:rsidP="0082352F">
      <w:pPr>
        <w:pStyle w:val="ListParagraph"/>
        <w:spacing w:after="0" w:line="240" w:lineRule="auto"/>
        <w:rPr>
          <w:rFonts w:ascii="Times New Roman" w:hAnsi="Times New Roman" w:cs="Times New Roman"/>
          <w:sz w:val="24"/>
          <w:szCs w:val="24"/>
        </w:rPr>
      </w:pPr>
    </w:p>
    <w:p w14:paraId="6A6D8885" w14:textId="77777777" w:rsidR="0082352F" w:rsidRPr="00DA06AD" w:rsidRDefault="0082352F" w:rsidP="0082352F">
      <w:pPr>
        <w:ind w:firstLine="720"/>
      </w:pPr>
      <w:r w:rsidRPr="00DA06AD">
        <w:t>AHPs are also subject to specific rules that prevent them from discriminating against individuals/employees based on a health condition.  Most importantly, AHPs are prohibited from denying people coverage if they have a pre-existing condition.</w:t>
      </w:r>
    </w:p>
    <w:p w14:paraId="48782F04" w14:textId="77777777" w:rsidR="00AF7CCD" w:rsidRPr="0082352F" w:rsidRDefault="00AF7CCD" w:rsidP="0082352F"/>
    <w:p w14:paraId="4EB695D9" w14:textId="7A82E1B5" w:rsidR="00D916F2" w:rsidRDefault="0082352F" w:rsidP="0082352F">
      <w:pPr>
        <w:ind w:firstLine="720"/>
      </w:pPr>
      <w:r w:rsidRPr="00DA06AD">
        <w:t>To date, at least</w:t>
      </w:r>
      <w:r w:rsidR="00BE6330">
        <w:t xml:space="preserve"> 3</w:t>
      </w:r>
      <w:r w:rsidR="00CB5550">
        <w:t>7</w:t>
      </w:r>
      <w:r w:rsidR="00BE6330">
        <w:t xml:space="preserve"> States </w:t>
      </w:r>
      <w:r w:rsidR="00673596">
        <w:t xml:space="preserve">allow </w:t>
      </w:r>
      <w:r w:rsidR="00673596" w:rsidRPr="00DA06AD">
        <w:t xml:space="preserve">small employers in the </w:t>
      </w:r>
      <w:r w:rsidR="00673596" w:rsidRPr="006222EA">
        <w:rPr>
          <w:i/>
          <w:iCs/>
        </w:rPr>
        <w:t>same industry</w:t>
      </w:r>
      <w:r w:rsidR="00673596">
        <w:t xml:space="preserve"> to establish an AHP that is regulated like a “large employer health plan.”</w:t>
      </w:r>
      <w:r w:rsidR="001A50B6">
        <w:rPr>
          <w:rStyle w:val="FootnoteReference"/>
        </w:rPr>
        <w:footnoteReference w:id="3"/>
      </w:r>
      <w:r w:rsidR="00673596">
        <w:t xml:space="preserve">  </w:t>
      </w:r>
      <w:r w:rsidR="00757442">
        <w:t>In addition, at least</w:t>
      </w:r>
      <w:r w:rsidRPr="00DA06AD">
        <w:t xml:space="preserve"> 30 States have signaled that they want to allow AHPs to (1) cover </w:t>
      </w:r>
      <w:r w:rsidR="00376490">
        <w:t xml:space="preserve">employees of </w:t>
      </w:r>
      <w:r w:rsidRPr="00DA06AD">
        <w:t xml:space="preserve">small employers in </w:t>
      </w:r>
      <w:r w:rsidRPr="006222EA">
        <w:rPr>
          <w:i/>
          <w:iCs/>
        </w:rPr>
        <w:t>different industries</w:t>
      </w:r>
      <w:r w:rsidRPr="00DA06AD">
        <w:t xml:space="preserve"> and (</w:t>
      </w:r>
      <w:r w:rsidR="00757442">
        <w:t>2</w:t>
      </w:r>
      <w:r w:rsidRPr="00DA06AD">
        <w:t xml:space="preserve">) cover </w:t>
      </w:r>
      <w:r w:rsidRPr="00C65894">
        <w:rPr>
          <w:i/>
          <w:iCs/>
        </w:rPr>
        <w:t>self-employed individuals with no employees</w:t>
      </w:r>
      <w:r w:rsidRPr="00DA06AD">
        <w:t>.</w:t>
      </w:r>
      <w:r w:rsidR="00A44B73">
        <w:rPr>
          <w:rStyle w:val="FootnoteReference"/>
        </w:rPr>
        <w:footnoteReference w:id="4"/>
      </w:r>
      <w:r>
        <w:t xml:space="preserve">  </w:t>
      </w:r>
    </w:p>
    <w:p w14:paraId="398ECC15" w14:textId="7C7FD260" w:rsidR="00CF4212" w:rsidRDefault="00C944E6" w:rsidP="0082352F">
      <w:pPr>
        <w:ind w:firstLine="720"/>
      </w:pPr>
      <w:r>
        <w:lastRenderedPageBreak/>
        <w:t>Note, 1</w:t>
      </w:r>
      <w:r w:rsidR="00CB5550">
        <w:t>3</w:t>
      </w:r>
      <w:r>
        <w:t xml:space="preserve"> States </w:t>
      </w:r>
      <w:r w:rsidR="001E04DE">
        <w:t xml:space="preserve">currently </w:t>
      </w:r>
      <w:r w:rsidR="00B74A74">
        <w:t xml:space="preserve">do not allow employers in the </w:t>
      </w:r>
      <w:r w:rsidR="00B74A74" w:rsidRPr="00901489">
        <w:rPr>
          <w:i/>
          <w:iCs/>
        </w:rPr>
        <w:t>same industry</w:t>
      </w:r>
      <w:r w:rsidR="00B74A74">
        <w:t xml:space="preserve"> to establish an AHP that is regulated like a large employer plan</w:t>
      </w:r>
      <w:r w:rsidR="003D6044">
        <w:t>,</w:t>
      </w:r>
      <w:r w:rsidR="00766077">
        <w:rPr>
          <w:rStyle w:val="FootnoteReference"/>
        </w:rPr>
        <w:footnoteReference w:id="5"/>
      </w:r>
      <w:r w:rsidR="003D6044">
        <w:t xml:space="preserve"> while other States prohibit self-insured AHPs from operating in their State.</w:t>
      </w:r>
      <w:r w:rsidR="001E04DE">
        <w:rPr>
          <w:rStyle w:val="FootnoteReference"/>
        </w:rPr>
        <w:footnoteReference w:id="6"/>
      </w:r>
      <w:r w:rsidR="003D6044">
        <w:t xml:space="preserve">  </w:t>
      </w:r>
    </w:p>
    <w:p w14:paraId="7936CA16" w14:textId="77777777" w:rsidR="009F026D" w:rsidRDefault="009F026D" w:rsidP="0082352F">
      <w:pPr>
        <w:ind w:firstLine="720"/>
      </w:pPr>
    </w:p>
    <w:p w14:paraId="07A07C79" w14:textId="77777777" w:rsidR="00962370" w:rsidRDefault="0082352F" w:rsidP="00962370">
      <w:pPr>
        <w:rPr>
          <w:b/>
          <w:bCs/>
          <w:i/>
          <w:iCs/>
        </w:rPr>
      </w:pPr>
      <w:r w:rsidRPr="00D90C01">
        <w:rPr>
          <w:b/>
          <w:bCs/>
        </w:rPr>
        <w:t xml:space="preserve">II.   </w:t>
      </w:r>
      <w:r>
        <w:rPr>
          <w:b/>
          <w:bCs/>
          <w:i/>
          <w:iCs/>
        </w:rPr>
        <w:t xml:space="preserve"> </w:t>
      </w:r>
      <w:r w:rsidRPr="007B394D">
        <w:rPr>
          <w:b/>
          <w:bCs/>
          <w:i/>
          <w:iCs/>
        </w:rPr>
        <w:t xml:space="preserve">Small Employers Want to Offer </w:t>
      </w:r>
      <w:r>
        <w:rPr>
          <w:b/>
          <w:bCs/>
          <w:i/>
          <w:iCs/>
        </w:rPr>
        <w:t xml:space="preserve">the Same </w:t>
      </w:r>
      <w:r w:rsidRPr="007B394D">
        <w:rPr>
          <w:b/>
          <w:bCs/>
          <w:i/>
          <w:iCs/>
        </w:rPr>
        <w:t xml:space="preserve">Comprehensive </w:t>
      </w:r>
      <w:r>
        <w:rPr>
          <w:b/>
          <w:bCs/>
          <w:i/>
          <w:iCs/>
        </w:rPr>
        <w:t xml:space="preserve">and Affordable </w:t>
      </w:r>
      <w:r w:rsidRPr="007B394D">
        <w:rPr>
          <w:b/>
          <w:bCs/>
          <w:i/>
          <w:iCs/>
        </w:rPr>
        <w:t>Health Coverag</w:t>
      </w:r>
      <w:r w:rsidR="00962370">
        <w:rPr>
          <w:b/>
          <w:bCs/>
          <w:i/>
          <w:iCs/>
        </w:rPr>
        <w:t>e</w:t>
      </w:r>
    </w:p>
    <w:p w14:paraId="0542629A" w14:textId="3F6E23C6" w:rsidR="0082352F" w:rsidRDefault="00962370" w:rsidP="0082352F">
      <w:pPr>
        <w:rPr>
          <w:b/>
          <w:bCs/>
          <w:i/>
          <w:iCs/>
        </w:rPr>
      </w:pPr>
      <w:r>
        <w:rPr>
          <w:b/>
          <w:bCs/>
          <w:i/>
          <w:iCs/>
        </w:rPr>
        <w:t xml:space="preserve">        </w:t>
      </w:r>
      <w:r w:rsidR="00BE3BD7">
        <w:rPr>
          <w:b/>
          <w:bCs/>
          <w:i/>
          <w:iCs/>
        </w:rPr>
        <w:t>t</w:t>
      </w:r>
      <w:r w:rsidR="0082352F">
        <w:rPr>
          <w:b/>
          <w:bCs/>
          <w:i/>
          <w:iCs/>
        </w:rPr>
        <w:t>hat</w:t>
      </w:r>
      <w:r>
        <w:rPr>
          <w:b/>
          <w:bCs/>
          <w:i/>
          <w:iCs/>
        </w:rPr>
        <w:t xml:space="preserve"> </w:t>
      </w:r>
      <w:r w:rsidR="0082352F">
        <w:rPr>
          <w:b/>
          <w:bCs/>
          <w:i/>
          <w:iCs/>
        </w:rPr>
        <w:t>Large Employers Offer</w:t>
      </w:r>
    </w:p>
    <w:p w14:paraId="5ECD5548" w14:textId="77777777" w:rsidR="0082352F" w:rsidRPr="00F83836" w:rsidRDefault="0082352F" w:rsidP="0082352F"/>
    <w:p w14:paraId="2122035C" w14:textId="77777777" w:rsidR="00B30528" w:rsidRDefault="0082352F" w:rsidP="0082352F">
      <w:pPr>
        <w:ind w:firstLine="720"/>
      </w:pPr>
      <w:r w:rsidRPr="00CF270C">
        <w:t>It is important to emphasize that one of the main reasons why employers – both large and small – offer health coverage to their employees is to attract and retain talented workers</w:t>
      </w:r>
      <w:r>
        <w:t xml:space="preserve"> and to keep their workers healthy and productive</w:t>
      </w:r>
      <w:r w:rsidRPr="00CF270C">
        <w:t>.</w:t>
      </w:r>
      <w:r>
        <w:t xml:space="preserve">  </w:t>
      </w:r>
    </w:p>
    <w:p w14:paraId="423B0C88" w14:textId="77777777" w:rsidR="00B30528" w:rsidRDefault="00B30528" w:rsidP="0082352F">
      <w:pPr>
        <w:ind w:firstLine="720"/>
      </w:pPr>
    </w:p>
    <w:p w14:paraId="6A05C1DC" w14:textId="6B29EA12" w:rsidR="0082352F" w:rsidRDefault="0082352F" w:rsidP="00DB30C9">
      <w:pPr>
        <w:ind w:firstLine="720"/>
      </w:pPr>
      <w:r>
        <w:t>Large employers do just that, through an offer of comprehensive health benefits that talented workers</w:t>
      </w:r>
      <w:r w:rsidR="000D2FB3">
        <w:t xml:space="preserve"> typically</w:t>
      </w:r>
      <w:r>
        <w:t xml:space="preserve"> demand, especially in a tight labor market.  </w:t>
      </w:r>
      <w:r w:rsidR="00DD261B">
        <w:t>S</w:t>
      </w:r>
      <w:r w:rsidR="00956654">
        <w:t>mall employer</w:t>
      </w:r>
      <w:r w:rsidR="00FE6A30">
        <w:t xml:space="preserve">s </w:t>
      </w:r>
      <w:r w:rsidR="00446D59">
        <w:t>are no different</w:t>
      </w:r>
      <w:r w:rsidR="00D50D23">
        <w:t xml:space="preserve">.  That is, </w:t>
      </w:r>
      <w:r w:rsidR="00446D59">
        <w:t>small employer</w:t>
      </w:r>
      <w:r w:rsidR="0027578C">
        <w:t>s</w:t>
      </w:r>
      <w:r w:rsidR="00446D59">
        <w:t xml:space="preserve"> </w:t>
      </w:r>
      <w:r w:rsidR="00A511FE">
        <w:t>–</w:t>
      </w:r>
      <w:r w:rsidR="00D43582">
        <w:t xml:space="preserve"> </w:t>
      </w:r>
      <w:r w:rsidR="00A511FE">
        <w:t>needing</w:t>
      </w:r>
      <w:r w:rsidR="00FE6A30">
        <w:t xml:space="preserve"> to compete </w:t>
      </w:r>
      <w:r w:rsidR="00446D59">
        <w:t>with large employers in today’s market</w:t>
      </w:r>
      <w:r w:rsidR="000D2FB3">
        <w:t xml:space="preserve"> – </w:t>
      </w:r>
      <w:r w:rsidR="004979ED" w:rsidRPr="000171DC">
        <w:rPr>
          <w:i/>
          <w:iCs/>
        </w:rPr>
        <w:t>want</w:t>
      </w:r>
      <w:r w:rsidR="004979ED">
        <w:t xml:space="preserve"> to </w:t>
      </w:r>
      <w:r w:rsidR="00FE4A5A">
        <w:t xml:space="preserve">offer comprehensive health </w:t>
      </w:r>
      <w:r w:rsidR="0025000C">
        <w:t>benefits</w:t>
      </w:r>
      <w:r w:rsidR="00D44CF4">
        <w:t xml:space="preserve"> to meet employees’ demand</w:t>
      </w:r>
      <w:r w:rsidR="00694516">
        <w:t>s</w:t>
      </w:r>
      <w:r w:rsidR="00DB30C9">
        <w:t>.</w:t>
      </w:r>
      <w:r w:rsidRPr="00363494">
        <w:t xml:space="preserve"> </w:t>
      </w:r>
    </w:p>
    <w:p w14:paraId="79EB0217" w14:textId="7C8D7AA4" w:rsidR="0082352F" w:rsidRDefault="0082352F" w:rsidP="0082352F">
      <w:pPr>
        <w:ind w:firstLine="720"/>
      </w:pPr>
    </w:p>
    <w:p w14:paraId="71F758FD" w14:textId="690EDB38" w:rsidR="00CD18DD" w:rsidRDefault="00CD18DD" w:rsidP="0082352F">
      <w:pPr>
        <w:ind w:firstLine="720"/>
        <w:rPr>
          <w:kern w:val="1"/>
          <w:u w:color="000000"/>
        </w:rPr>
      </w:pPr>
      <w:r>
        <w:rPr>
          <w:kern w:val="1"/>
          <w:u w:color="000000"/>
        </w:rPr>
        <w:t>However, l</w:t>
      </w:r>
      <w:r w:rsidR="005F1410" w:rsidRPr="00A9049C">
        <w:rPr>
          <w:kern w:val="1"/>
          <w:u w:color="000000"/>
        </w:rPr>
        <w:t xml:space="preserve">arge </w:t>
      </w:r>
      <w:r w:rsidR="00B97DB5">
        <w:rPr>
          <w:kern w:val="1"/>
          <w:u w:color="000000"/>
        </w:rPr>
        <w:t xml:space="preserve">employers </w:t>
      </w:r>
      <w:r w:rsidR="005F1410" w:rsidRPr="00A9049C">
        <w:rPr>
          <w:kern w:val="1"/>
          <w:u w:color="000000"/>
        </w:rPr>
        <w:t xml:space="preserve">with thousands of employees are in a better position to negotiate </w:t>
      </w:r>
      <w:r w:rsidR="00747485">
        <w:rPr>
          <w:kern w:val="1"/>
          <w:u w:color="000000"/>
        </w:rPr>
        <w:t xml:space="preserve">comprehensive, yet affordable coverage </w:t>
      </w:r>
      <w:r w:rsidR="005F1410" w:rsidRPr="00A9049C">
        <w:rPr>
          <w:kern w:val="1"/>
          <w:u w:color="000000"/>
        </w:rPr>
        <w:t>with insurers</w:t>
      </w:r>
      <w:r w:rsidR="00474185">
        <w:rPr>
          <w:kern w:val="1"/>
          <w:u w:color="000000"/>
        </w:rPr>
        <w:t>.  Why?  B</w:t>
      </w:r>
      <w:r w:rsidR="005F1410" w:rsidRPr="00A9049C">
        <w:rPr>
          <w:kern w:val="1"/>
          <w:u w:color="000000"/>
        </w:rPr>
        <w:t xml:space="preserve">ecause large employers offer insurers a bigger risk pool over which health claims may be spread and moderated. </w:t>
      </w:r>
      <w:r>
        <w:rPr>
          <w:kern w:val="1"/>
          <w:u w:color="000000"/>
        </w:rPr>
        <w:t xml:space="preserve"> </w:t>
      </w:r>
      <w:r w:rsidR="005F1410" w:rsidRPr="00A9049C">
        <w:rPr>
          <w:kern w:val="1"/>
          <w:u w:color="000000"/>
        </w:rPr>
        <w:t xml:space="preserve">In some cases, these large </w:t>
      </w:r>
      <w:r w:rsidR="00C157A3">
        <w:rPr>
          <w:kern w:val="1"/>
          <w:u w:color="000000"/>
        </w:rPr>
        <w:t>employer</w:t>
      </w:r>
      <w:r w:rsidR="005F1410" w:rsidRPr="00A9049C">
        <w:rPr>
          <w:kern w:val="1"/>
          <w:u w:color="000000"/>
        </w:rPr>
        <w:t>s can also negotiate lower rates with healthcare providers</w:t>
      </w:r>
      <w:r w:rsidR="00F7437C">
        <w:rPr>
          <w:kern w:val="1"/>
          <w:u w:color="000000"/>
        </w:rPr>
        <w:t>.  How?  B</w:t>
      </w:r>
      <w:r w:rsidR="005F1410" w:rsidRPr="00A9049C">
        <w:rPr>
          <w:kern w:val="1"/>
          <w:u w:color="000000"/>
        </w:rPr>
        <w:t>ecause large employers offer providers a large volume of patients to utilize their services.</w:t>
      </w:r>
      <w:r w:rsidR="00A9049C" w:rsidRPr="00A9049C">
        <w:rPr>
          <w:kern w:val="1"/>
          <w:u w:color="000000"/>
        </w:rPr>
        <w:t xml:space="preserve">  </w:t>
      </w:r>
    </w:p>
    <w:p w14:paraId="4AB1C1B2" w14:textId="77777777" w:rsidR="00CD18DD" w:rsidRDefault="00CD18DD" w:rsidP="0082352F">
      <w:pPr>
        <w:ind w:firstLine="720"/>
        <w:rPr>
          <w:kern w:val="1"/>
          <w:u w:color="000000"/>
        </w:rPr>
      </w:pPr>
    </w:p>
    <w:p w14:paraId="1D671D6C" w14:textId="77777777" w:rsidR="00BE125B" w:rsidRDefault="00CD18DD" w:rsidP="0082352F">
      <w:pPr>
        <w:ind w:firstLine="720"/>
      </w:pPr>
      <w:r>
        <w:t>S</w:t>
      </w:r>
      <w:r w:rsidR="0082352F" w:rsidRPr="00363494">
        <w:t>mall employers</w:t>
      </w:r>
      <w:r>
        <w:t>, on the other hand,</w:t>
      </w:r>
      <w:r w:rsidR="0082352F" w:rsidRPr="00363494">
        <w:t xml:space="preserve"> lack the resources and bargaining power of large employers, </w:t>
      </w:r>
      <w:r w:rsidR="009D0908">
        <w:t xml:space="preserve">and therefore, </w:t>
      </w:r>
      <w:proofErr w:type="gramStart"/>
      <w:r w:rsidR="0082352F" w:rsidRPr="00363494">
        <w:t>the majority of</w:t>
      </w:r>
      <w:proofErr w:type="gramEnd"/>
      <w:r w:rsidR="0082352F" w:rsidRPr="00363494">
        <w:t xml:space="preserve"> small employers are unable to offer comprehensive coverage at an affordable price.  </w:t>
      </w:r>
    </w:p>
    <w:p w14:paraId="1BC4066C" w14:textId="77777777" w:rsidR="00BE125B" w:rsidRDefault="00BE125B" w:rsidP="0082352F">
      <w:pPr>
        <w:ind w:firstLine="720"/>
      </w:pPr>
    </w:p>
    <w:p w14:paraId="47BC1F25" w14:textId="2939012F" w:rsidR="0082352F" w:rsidRDefault="0082352F" w:rsidP="0082352F">
      <w:pPr>
        <w:ind w:firstLine="720"/>
      </w:pPr>
      <w:r w:rsidRPr="00363494">
        <w:t xml:space="preserve">This is where AHPs play such an important and </w:t>
      </w:r>
      <w:proofErr w:type="gramStart"/>
      <w:r w:rsidRPr="00363494">
        <w:t>socially-beneficial</w:t>
      </w:r>
      <w:proofErr w:type="gramEnd"/>
      <w:r w:rsidRPr="00363494">
        <w:t xml:space="preserve"> role.  By obtaining health coverage through an AHP – which </w:t>
      </w:r>
      <w:r w:rsidR="00B56796">
        <w:t>is the same type of</w:t>
      </w:r>
      <w:r w:rsidRPr="00363494">
        <w:t xml:space="preserve"> health plan sponsored by a large employer – small employers </w:t>
      </w:r>
      <w:r w:rsidR="00FD0C36">
        <w:t xml:space="preserve">can “group purchase” and effectively </w:t>
      </w:r>
      <w:r w:rsidRPr="00363494">
        <w:t xml:space="preserve">compete with large employers </w:t>
      </w:r>
      <w:r w:rsidR="00FD0C36">
        <w:t>by</w:t>
      </w:r>
      <w:r w:rsidRPr="00363494">
        <w:t xml:space="preserve"> offer</w:t>
      </w:r>
      <w:r w:rsidR="00FD0C36">
        <w:t>ing</w:t>
      </w:r>
      <w:r w:rsidRPr="00363494">
        <w:t xml:space="preserve"> comprehensive</w:t>
      </w:r>
      <w:r w:rsidR="00FD0C36">
        <w:t xml:space="preserve"> and affordable</w:t>
      </w:r>
      <w:r w:rsidRPr="00363494">
        <w:t xml:space="preserve"> </w:t>
      </w:r>
      <w:r w:rsidR="00FD0C36">
        <w:t xml:space="preserve">health </w:t>
      </w:r>
      <w:r w:rsidRPr="00363494">
        <w:t>benefits</w:t>
      </w:r>
      <w:r w:rsidR="00FD0C36">
        <w:t xml:space="preserve"> to their employees</w:t>
      </w:r>
      <w:r w:rsidRPr="00363494">
        <w:t xml:space="preserve">.  </w:t>
      </w:r>
    </w:p>
    <w:p w14:paraId="1703B2C6" w14:textId="77777777" w:rsidR="0082352F" w:rsidRDefault="0082352F" w:rsidP="00154F4C">
      <w:pPr>
        <w:ind w:firstLine="720"/>
      </w:pPr>
    </w:p>
    <w:p w14:paraId="62DF5DFC" w14:textId="24319154" w:rsidR="00830D12" w:rsidRDefault="00830D12" w:rsidP="00154F4C">
      <w:pPr>
        <w:ind w:left="720" w:hanging="720"/>
        <w:rPr>
          <w:b/>
          <w:bCs/>
          <w:i/>
          <w:iCs/>
        </w:rPr>
      </w:pPr>
      <w:r w:rsidRPr="00830D12">
        <w:rPr>
          <w:b/>
          <w:bCs/>
        </w:rPr>
        <w:t>III.</w:t>
      </w:r>
      <w:r w:rsidRPr="00830D12">
        <w:rPr>
          <w:b/>
          <w:bCs/>
        </w:rPr>
        <w:tab/>
      </w:r>
      <w:r w:rsidR="0082352F" w:rsidRPr="007B394D">
        <w:rPr>
          <w:b/>
          <w:bCs/>
          <w:i/>
          <w:iCs/>
        </w:rPr>
        <w:t>Membership-Based Organizations</w:t>
      </w:r>
      <w:r>
        <w:rPr>
          <w:b/>
          <w:bCs/>
          <w:i/>
          <w:iCs/>
        </w:rPr>
        <w:t xml:space="preserve"> </w:t>
      </w:r>
      <w:r w:rsidR="0082352F" w:rsidRPr="007B394D">
        <w:rPr>
          <w:b/>
          <w:bCs/>
          <w:i/>
          <w:iCs/>
        </w:rPr>
        <w:t>Want to Offer</w:t>
      </w:r>
      <w:r w:rsidR="00154F4C">
        <w:rPr>
          <w:b/>
          <w:bCs/>
          <w:i/>
          <w:iCs/>
        </w:rPr>
        <w:t xml:space="preserve"> </w:t>
      </w:r>
      <w:r w:rsidR="0082352F" w:rsidRPr="007B394D">
        <w:rPr>
          <w:b/>
          <w:bCs/>
          <w:i/>
          <w:iCs/>
        </w:rPr>
        <w:t xml:space="preserve">Comprehensive </w:t>
      </w:r>
      <w:r w:rsidR="0082352F">
        <w:rPr>
          <w:b/>
          <w:bCs/>
          <w:i/>
          <w:iCs/>
        </w:rPr>
        <w:t xml:space="preserve">and Affordable </w:t>
      </w:r>
      <w:r w:rsidR="0082352F" w:rsidRPr="007B394D">
        <w:rPr>
          <w:b/>
          <w:bCs/>
          <w:i/>
          <w:iCs/>
        </w:rPr>
        <w:t xml:space="preserve">Health </w:t>
      </w:r>
    </w:p>
    <w:p w14:paraId="05CBA166" w14:textId="2E106EB1" w:rsidR="0082352F" w:rsidRPr="00F83836" w:rsidRDefault="0082352F" w:rsidP="00830D12">
      <w:pPr>
        <w:ind w:left="720"/>
      </w:pPr>
      <w:r w:rsidRPr="007B394D">
        <w:rPr>
          <w:b/>
          <w:bCs/>
          <w:i/>
          <w:iCs/>
        </w:rPr>
        <w:t>Coverage</w:t>
      </w:r>
      <w:r w:rsidR="00154F4C">
        <w:rPr>
          <w:b/>
          <w:bCs/>
          <w:i/>
          <w:iCs/>
        </w:rPr>
        <w:t xml:space="preserve"> </w:t>
      </w:r>
      <w:r w:rsidR="00830D12">
        <w:rPr>
          <w:b/>
          <w:bCs/>
          <w:i/>
          <w:iCs/>
        </w:rPr>
        <w:t>Too</w:t>
      </w:r>
    </w:p>
    <w:p w14:paraId="4DCBE9D9" w14:textId="77777777" w:rsidR="00154F4C" w:rsidRDefault="00154F4C" w:rsidP="0082352F">
      <w:pPr>
        <w:ind w:firstLine="720"/>
      </w:pPr>
    </w:p>
    <w:p w14:paraId="4D838638" w14:textId="2A75E1E5" w:rsidR="005F6654" w:rsidRDefault="0082352F" w:rsidP="0082352F">
      <w:pPr>
        <w:ind w:firstLine="720"/>
      </w:pPr>
      <w:r w:rsidRPr="00363494">
        <w:t>It is also important to emphasize that the type of “groups or associations” interested in sponsoring an AHP are membership-based organizations</w:t>
      </w:r>
      <w:r w:rsidR="00682A6B">
        <w:t xml:space="preserve"> w</w:t>
      </w:r>
      <w:r w:rsidR="00511A97">
        <w:t>ith employer members, self-employed individual members with no employees, or both</w:t>
      </w:r>
      <w:r w:rsidRPr="00363494">
        <w:t xml:space="preserve">.  </w:t>
      </w:r>
    </w:p>
    <w:p w14:paraId="6B75120C" w14:textId="77777777" w:rsidR="00BE3BD7" w:rsidRDefault="00BE3BD7" w:rsidP="0082352F">
      <w:pPr>
        <w:ind w:firstLine="720"/>
      </w:pPr>
    </w:p>
    <w:p w14:paraId="3D0D35D4" w14:textId="2A9D3132" w:rsidR="005F6654" w:rsidRDefault="0082352F" w:rsidP="0082352F">
      <w:pPr>
        <w:ind w:firstLine="720"/>
      </w:pPr>
      <w:r w:rsidRPr="00C80138">
        <w:t xml:space="preserve">These organizations </w:t>
      </w:r>
      <w:r w:rsidRPr="00C80138">
        <w:rPr>
          <w:i/>
        </w:rPr>
        <w:t>want</w:t>
      </w:r>
      <w:r w:rsidRPr="00C80138">
        <w:t xml:space="preserve"> to offer AHP coverage – which again, is </w:t>
      </w:r>
      <w:r w:rsidR="00FD0C36">
        <w:t xml:space="preserve">treated like </w:t>
      </w:r>
      <w:r w:rsidRPr="00C80138">
        <w:t xml:space="preserve">a large employer plan – not only to help their members obtain quality and affordable coverage, but as a member benefit to attract new members and retain their current members.  </w:t>
      </w:r>
    </w:p>
    <w:p w14:paraId="52DB374D" w14:textId="77777777" w:rsidR="005F6654" w:rsidRDefault="005F6654" w:rsidP="0082352F">
      <w:pPr>
        <w:ind w:firstLine="720"/>
      </w:pPr>
    </w:p>
    <w:p w14:paraId="6FFB7123" w14:textId="3ED6D5F7" w:rsidR="0082352F" w:rsidRDefault="0082352F" w:rsidP="0082352F">
      <w:pPr>
        <w:ind w:firstLine="720"/>
      </w:pPr>
      <w:r w:rsidRPr="00C80138">
        <w:t xml:space="preserve">An offer of less comprehensive, sub-standard health coverage will </w:t>
      </w:r>
      <w:proofErr w:type="gramStart"/>
      <w:r w:rsidRPr="00C80138">
        <w:t>actually be</w:t>
      </w:r>
      <w:proofErr w:type="gramEnd"/>
      <w:r w:rsidRPr="00C80138">
        <w:t xml:space="preserve"> detrimental to these organizations (i.e., their current members will leave the organization and they will be unable to attract any new members).</w:t>
      </w:r>
    </w:p>
    <w:p w14:paraId="016A581E" w14:textId="77777777" w:rsidR="005F6654" w:rsidRDefault="005F6654" w:rsidP="005F6654"/>
    <w:p w14:paraId="1EC7C1BD" w14:textId="268CF0BC" w:rsidR="005F6654" w:rsidRPr="00A731C2" w:rsidRDefault="005F6654" w:rsidP="00A731C2">
      <w:pPr>
        <w:ind w:left="720" w:hanging="720"/>
        <w:rPr>
          <w:b/>
          <w:bCs/>
        </w:rPr>
      </w:pPr>
      <w:r w:rsidRPr="00A731C2">
        <w:rPr>
          <w:b/>
          <w:bCs/>
        </w:rPr>
        <w:t>IV.</w:t>
      </w:r>
      <w:r w:rsidRPr="00A731C2">
        <w:rPr>
          <w:b/>
          <w:bCs/>
        </w:rPr>
        <w:tab/>
      </w:r>
      <w:r w:rsidRPr="00515C69">
        <w:rPr>
          <w:b/>
          <w:bCs/>
          <w:i/>
          <w:iCs/>
        </w:rPr>
        <w:t xml:space="preserve">Self-Employed Individuals </w:t>
      </w:r>
      <w:proofErr w:type="gramStart"/>
      <w:r w:rsidRPr="00515C69">
        <w:rPr>
          <w:b/>
          <w:bCs/>
          <w:i/>
          <w:iCs/>
        </w:rPr>
        <w:t>With</w:t>
      </w:r>
      <w:proofErr w:type="gramEnd"/>
      <w:r w:rsidRPr="00515C69">
        <w:rPr>
          <w:b/>
          <w:bCs/>
          <w:i/>
          <w:iCs/>
        </w:rPr>
        <w:t xml:space="preserve"> No Employees </w:t>
      </w:r>
      <w:r w:rsidR="00A731C2" w:rsidRPr="00515C69">
        <w:rPr>
          <w:b/>
          <w:bCs/>
          <w:i/>
          <w:iCs/>
        </w:rPr>
        <w:t>Should Be Treated as an “Employer” and an “Employee” For Purposes of Participating In an AHP</w:t>
      </w:r>
    </w:p>
    <w:p w14:paraId="32E32AE1" w14:textId="77777777" w:rsidR="005F6654" w:rsidRDefault="005F6654" w:rsidP="005F6654"/>
    <w:p w14:paraId="3A6B8682" w14:textId="4EA112E5" w:rsidR="00B061C0" w:rsidRDefault="008D7C80" w:rsidP="00380D35">
      <w:pPr>
        <w:pStyle w:val="gmail-m2130251007277228355msobodytext"/>
        <w:spacing w:before="0" w:beforeAutospacing="0" w:after="0" w:afterAutospacing="0"/>
        <w:ind w:firstLine="720"/>
        <w:rPr>
          <w:rFonts w:ascii="Times New Roman" w:hAnsi="Times New Roman" w:cs="Times New Roman"/>
          <w:sz w:val="24"/>
          <w:szCs w:val="24"/>
        </w:rPr>
      </w:pPr>
      <w:r>
        <w:rPr>
          <w:rFonts w:ascii="Times New Roman" w:hAnsi="Times New Roman" w:cs="Times New Roman"/>
          <w:sz w:val="24"/>
          <w:szCs w:val="24"/>
        </w:rPr>
        <w:t>A s</w:t>
      </w:r>
      <w:r w:rsidR="00A731C2">
        <w:rPr>
          <w:rFonts w:ascii="Times New Roman" w:hAnsi="Times New Roman" w:cs="Times New Roman"/>
          <w:sz w:val="24"/>
          <w:szCs w:val="24"/>
        </w:rPr>
        <w:t>elf-employed individual</w:t>
      </w:r>
      <w:r>
        <w:rPr>
          <w:rFonts w:ascii="Times New Roman" w:hAnsi="Times New Roman" w:cs="Times New Roman"/>
          <w:sz w:val="24"/>
          <w:szCs w:val="24"/>
        </w:rPr>
        <w:t xml:space="preserve"> with no employees</w:t>
      </w:r>
      <w:r w:rsidR="00A731C2">
        <w:rPr>
          <w:rFonts w:ascii="Times New Roman" w:hAnsi="Times New Roman" w:cs="Times New Roman"/>
          <w:sz w:val="24"/>
          <w:szCs w:val="24"/>
        </w:rPr>
        <w:t xml:space="preserve"> </w:t>
      </w:r>
      <w:r w:rsidR="00B061C0" w:rsidRPr="0079750F">
        <w:rPr>
          <w:rFonts w:ascii="Times New Roman" w:hAnsi="Times New Roman" w:cs="Times New Roman"/>
          <w:sz w:val="24"/>
          <w:szCs w:val="24"/>
        </w:rPr>
        <w:t>provide</w:t>
      </w:r>
      <w:r>
        <w:rPr>
          <w:rFonts w:ascii="Times New Roman" w:hAnsi="Times New Roman" w:cs="Times New Roman"/>
          <w:sz w:val="24"/>
          <w:szCs w:val="24"/>
        </w:rPr>
        <w:t>s</w:t>
      </w:r>
      <w:r w:rsidR="00B061C0" w:rsidRPr="0079750F">
        <w:rPr>
          <w:rFonts w:ascii="Times New Roman" w:hAnsi="Times New Roman" w:cs="Times New Roman"/>
          <w:sz w:val="24"/>
          <w:szCs w:val="24"/>
        </w:rPr>
        <w:t xml:space="preserve"> services to the </w:t>
      </w:r>
      <w:r>
        <w:rPr>
          <w:rFonts w:ascii="Times New Roman" w:hAnsi="Times New Roman" w:cs="Times New Roman"/>
          <w:sz w:val="24"/>
          <w:szCs w:val="24"/>
        </w:rPr>
        <w:t>individual</w:t>
      </w:r>
      <w:r w:rsidR="00B061C0" w:rsidRPr="0079750F">
        <w:rPr>
          <w:rFonts w:ascii="Times New Roman" w:hAnsi="Times New Roman" w:cs="Times New Roman"/>
          <w:sz w:val="24"/>
          <w:szCs w:val="24"/>
        </w:rPr>
        <w:t>’s own trade or business by providing services to a third-party entity, which itself is traditionally a trade or business</w:t>
      </w:r>
      <w:r w:rsidR="00B061C0">
        <w:rPr>
          <w:rFonts w:ascii="Times New Roman" w:hAnsi="Times New Roman" w:cs="Times New Roman"/>
          <w:sz w:val="24"/>
          <w:szCs w:val="24"/>
        </w:rPr>
        <w:t xml:space="preserve"> or a third-party consumer</w:t>
      </w:r>
      <w:r w:rsidR="00B061C0" w:rsidRPr="0079750F">
        <w:rPr>
          <w:rFonts w:ascii="Times New Roman" w:hAnsi="Times New Roman" w:cs="Times New Roman"/>
          <w:sz w:val="24"/>
          <w:szCs w:val="24"/>
        </w:rPr>
        <w:t xml:space="preserve">.  This </w:t>
      </w:r>
      <w:r>
        <w:rPr>
          <w:rFonts w:ascii="Times New Roman" w:hAnsi="Times New Roman" w:cs="Times New Roman"/>
          <w:sz w:val="24"/>
          <w:szCs w:val="24"/>
        </w:rPr>
        <w:t>self-employed individual</w:t>
      </w:r>
      <w:r w:rsidR="00B061C0" w:rsidRPr="0079750F">
        <w:rPr>
          <w:rFonts w:ascii="Times New Roman" w:hAnsi="Times New Roman" w:cs="Times New Roman"/>
          <w:sz w:val="24"/>
          <w:szCs w:val="24"/>
        </w:rPr>
        <w:t xml:space="preserve"> generates revenue for its own trade or business through the provision of these services for th</w:t>
      </w:r>
      <w:r w:rsidR="00B061C0">
        <w:rPr>
          <w:rFonts w:ascii="Times New Roman" w:hAnsi="Times New Roman" w:cs="Times New Roman"/>
          <w:sz w:val="24"/>
          <w:szCs w:val="24"/>
        </w:rPr>
        <w:t>ese</w:t>
      </w:r>
      <w:r w:rsidR="00B061C0" w:rsidRPr="0079750F">
        <w:rPr>
          <w:rFonts w:ascii="Times New Roman" w:hAnsi="Times New Roman" w:cs="Times New Roman"/>
          <w:sz w:val="24"/>
          <w:szCs w:val="24"/>
        </w:rPr>
        <w:t xml:space="preserve"> </w:t>
      </w:r>
      <w:proofErr w:type="gramStart"/>
      <w:r w:rsidR="00B061C0" w:rsidRPr="0079750F">
        <w:rPr>
          <w:rFonts w:ascii="Times New Roman" w:hAnsi="Times New Roman" w:cs="Times New Roman"/>
          <w:sz w:val="24"/>
          <w:szCs w:val="24"/>
        </w:rPr>
        <w:t>third-part</w:t>
      </w:r>
      <w:r w:rsidR="00B061C0">
        <w:rPr>
          <w:rFonts w:ascii="Times New Roman" w:hAnsi="Times New Roman" w:cs="Times New Roman"/>
          <w:sz w:val="24"/>
          <w:szCs w:val="24"/>
        </w:rPr>
        <w:t>ies</w:t>
      </w:r>
      <w:proofErr w:type="gramEnd"/>
      <w:r w:rsidR="00B061C0" w:rsidRPr="0079750F">
        <w:rPr>
          <w:rFonts w:ascii="Times New Roman" w:hAnsi="Times New Roman" w:cs="Times New Roman"/>
          <w:sz w:val="24"/>
          <w:szCs w:val="24"/>
        </w:rPr>
        <w:t>, and the Internal Revenue Code treats this revenue generated as “income,” which is taxed for both income and employment tax purposes</w:t>
      </w:r>
      <w:r w:rsidR="00B061C0">
        <w:rPr>
          <w:rFonts w:ascii="Times New Roman" w:hAnsi="Times New Roman" w:cs="Times New Roman"/>
          <w:sz w:val="24"/>
          <w:szCs w:val="24"/>
        </w:rPr>
        <w:t>, similar to “wages</w:t>
      </w:r>
      <w:r w:rsidR="009F3F7A">
        <w:rPr>
          <w:rFonts w:ascii="Times New Roman" w:hAnsi="Times New Roman" w:cs="Times New Roman"/>
          <w:sz w:val="24"/>
          <w:szCs w:val="24"/>
        </w:rPr>
        <w:t>” that</w:t>
      </w:r>
      <w:r w:rsidR="00A51CF9">
        <w:rPr>
          <w:rFonts w:ascii="Times New Roman" w:hAnsi="Times New Roman" w:cs="Times New Roman"/>
          <w:sz w:val="24"/>
          <w:szCs w:val="24"/>
        </w:rPr>
        <w:t xml:space="preserve"> are paid to an employee by an employer.</w:t>
      </w:r>
    </w:p>
    <w:p w14:paraId="4BA7C3FF" w14:textId="77777777" w:rsidR="00380D35" w:rsidRPr="0079750F" w:rsidRDefault="00380D35" w:rsidP="00380D35">
      <w:pPr>
        <w:pStyle w:val="gmail-m2130251007277228355msobodytext"/>
        <w:spacing w:before="0" w:beforeAutospacing="0" w:after="0" w:afterAutospacing="0"/>
        <w:ind w:firstLine="720"/>
        <w:rPr>
          <w:rFonts w:ascii="Times New Roman" w:hAnsi="Times New Roman" w:cs="Times New Roman"/>
          <w:sz w:val="24"/>
          <w:szCs w:val="24"/>
        </w:rPr>
      </w:pPr>
    </w:p>
    <w:p w14:paraId="4A1408D6" w14:textId="202412F5" w:rsidR="00B061C0" w:rsidRPr="0079750F" w:rsidRDefault="00B061C0" w:rsidP="00380D35">
      <w:pPr>
        <w:pStyle w:val="gmail-m2130251007277228355msobodytext"/>
        <w:spacing w:before="0" w:beforeAutospacing="0" w:after="0" w:afterAutospacing="0"/>
        <w:ind w:firstLine="720"/>
        <w:rPr>
          <w:rFonts w:ascii="Times New Roman" w:hAnsi="Times New Roman" w:cs="Times New Roman"/>
          <w:sz w:val="24"/>
          <w:szCs w:val="24"/>
        </w:rPr>
      </w:pPr>
      <w:r w:rsidRPr="0079750F">
        <w:rPr>
          <w:rFonts w:ascii="Times New Roman" w:hAnsi="Times New Roman" w:cs="Times New Roman"/>
          <w:sz w:val="24"/>
          <w:szCs w:val="24"/>
        </w:rPr>
        <w:t xml:space="preserve">Over the past three decades, </w:t>
      </w:r>
      <w:r w:rsidR="000858B8">
        <w:rPr>
          <w:rFonts w:ascii="Times New Roman" w:hAnsi="Times New Roman" w:cs="Times New Roman"/>
          <w:sz w:val="24"/>
          <w:szCs w:val="24"/>
        </w:rPr>
        <w:t>our</w:t>
      </w:r>
      <w:r w:rsidRPr="0079750F">
        <w:rPr>
          <w:rFonts w:ascii="Times New Roman" w:hAnsi="Times New Roman" w:cs="Times New Roman"/>
          <w:sz w:val="24"/>
          <w:szCs w:val="24"/>
        </w:rPr>
        <w:t xml:space="preserve"> nation’s economic environment has evolved into a competitive, global economic environment.  Our nation’s workforce has similarly evolved from a traditional employment-based setting where “employees are employed by an employer,” to a non-traditional employment-based setting where a growing number of workers are self-employed individuals with no employees</w:t>
      </w:r>
      <w:r w:rsidR="00746416">
        <w:rPr>
          <w:rFonts w:ascii="Times New Roman" w:hAnsi="Times New Roman" w:cs="Times New Roman"/>
          <w:sz w:val="24"/>
          <w:szCs w:val="24"/>
        </w:rPr>
        <w:t>,</w:t>
      </w:r>
      <w:r w:rsidR="00F450B9">
        <w:rPr>
          <w:rFonts w:ascii="Times New Roman" w:hAnsi="Times New Roman" w:cs="Times New Roman"/>
          <w:sz w:val="24"/>
          <w:szCs w:val="24"/>
        </w:rPr>
        <w:t xml:space="preserve"> who </w:t>
      </w:r>
      <w:proofErr w:type="gramStart"/>
      <w:r w:rsidR="00F450B9">
        <w:rPr>
          <w:rFonts w:ascii="Times New Roman" w:hAnsi="Times New Roman" w:cs="Times New Roman"/>
          <w:sz w:val="24"/>
          <w:szCs w:val="24"/>
        </w:rPr>
        <w:t xml:space="preserve">in reality </w:t>
      </w:r>
      <w:r w:rsidR="00B8792D">
        <w:rPr>
          <w:rFonts w:ascii="Times New Roman" w:hAnsi="Times New Roman" w:cs="Times New Roman"/>
          <w:sz w:val="24"/>
          <w:szCs w:val="24"/>
        </w:rPr>
        <w:t>operate</w:t>
      </w:r>
      <w:proofErr w:type="gramEnd"/>
      <w:r w:rsidR="00CA638E">
        <w:rPr>
          <w:rFonts w:ascii="Times New Roman" w:hAnsi="Times New Roman" w:cs="Times New Roman"/>
          <w:sz w:val="24"/>
          <w:szCs w:val="24"/>
        </w:rPr>
        <w:t xml:space="preserve"> as </w:t>
      </w:r>
      <w:r w:rsidR="00B8792D" w:rsidRPr="00B8792D">
        <w:rPr>
          <w:rFonts w:ascii="Times New Roman" w:hAnsi="Times New Roman" w:cs="Times New Roman"/>
          <w:i/>
          <w:iCs/>
          <w:sz w:val="24"/>
          <w:szCs w:val="24"/>
        </w:rPr>
        <w:t>both</w:t>
      </w:r>
      <w:r w:rsidR="00B8792D">
        <w:rPr>
          <w:rFonts w:ascii="Times New Roman" w:hAnsi="Times New Roman" w:cs="Times New Roman"/>
          <w:sz w:val="24"/>
          <w:szCs w:val="24"/>
        </w:rPr>
        <w:t xml:space="preserve"> (1) </w:t>
      </w:r>
      <w:r w:rsidR="00CA638E">
        <w:rPr>
          <w:rFonts w:ascii="Times New Roman" w:hAnsi="Times New Roman" w:cs="Times New Roman"/>
          <w:sz w:val="24"/>
          <w:szCs w:val="24"/>
        </w:rPr>
        <w:t>an</w:t>
      </w:r>
      <w:r w:rsidR="00B8792D">
        <w:rPr>
          <w:rFonts w:ascii="Times New Roman" w:hAnsi="Times New Roman" w:cs="Times New Roman"/>
          <w:sz w:val="24"/>
          <w:szCs w:val="24"/>
        </w:rPr>
        <w:t xml:space="preserve"> </w:t>
      </w:r>
      <w:r w:rsidR="00CA638E">
        <w:rPr>
          <w:rFonts w:ascii="Times New Roman" w:hAnsi="Times New Roman" w:cs="Times New Roman"/>
          <w:sz w:val="24"/>
          <w:szCs w:val="24"/>
        </w:rPr>
        <w:t xml:space="preserve">“employer” and </w:t>
      </w:r>
      <w:r w:rsidR="00B8792D">
        <w:rPr>
          <w:rFonts w:ascii="Times New Roman" w:hAnsi="Times New Roman" w:cs="Times New Roman"/>
          <w:sz w:val="24"/>
          <w:szCs w:val="24"/>
        </w:rPr>
        <w:t xml:space="preserve">(2) </w:t>
      </w:r>
      <w:r w:rsidR="00CA638E">
        <w:rPr>
          <w:rFonts w:ascii="Times New Roman" w:hAnsi="Times New Roman" w:cs="Times New Roman"/>
          <w:sz w:val="24"/>
          <w:szCs w:val="24"/>
        </w:rPr>
        <w:t>an “employee.”</w:t>
      </w:r>
      <w:r>
        <w:rPr>
          <w:rStyle w:val="FootnoteReference"/>
          <w:rFonts w:cs="Times New Roman"/>
        </w:rPr>
        <w:footnoteReference w:id="7"/>
      </w:r>
      <w:r w:rsidRPr="0079750F">
        <w:rPr>
          <w:rFonts w:ascii="Times New Roman" w:hAnsi="Times New Roman" w:cs="Times New Roman"/>
          <w:sz w:val="24"/>
          <w:szCs w:val="24"/>
        </w:rPr>
        <w:t xml:space="preserve">   </w:t>
      </w:r>
    </w:p>
    <w:p w14:paraId="7DA3D65A" w14:textId="77777777" w:rsidR="00B061C0" w:rsidRPr="0079750F" w:rsidRDefault="00B061C0" w:rsidP="00380D35">
      <w:pPr>
        <w:pStyle w:val="gmail-m2130251007277228355msobodytext"/>
        <w:spacing w:before="0" w:beforeAutospacing="0" w:after="0" w:afterAutospacing="0"/>
        <w:rPr>
          <w:rFonts w:ascii="Times New Roman" w:hAnsi="Times New Roman" w:cs="Times New Roman"/>
          <w:sz w:val="24"/>
          <w:szCs w:val="24"/>
        </w:rPr>
      </w:pPr>
      <w:r w:rsidRPr="0079750F">
        <w:rPr>
          <w:rFonts w:ascii="Times New Roman" w:hAnsi="Times New Roman" w:cs="Times New Roman"/>
          <w:sz w:val="24"/>
          <w:szCs w:val="24"/>
        </w:rPr>
        <w:t> </w:t>
      </w:r>
    </w:p>
    <w:p w14:paraId="11632805" w14:textId="5C765875" w:rsidR="00B061C0" w:rsidRDefault="004C37E9" w:rsidP="00380D35">
      <w:pPr>
        <w:pStyle w:val="gmail-m2130251007277228355msobodytext"/>
        <w:spacing w:before="0" w:beforeAutospacing="0" w:after="0" w:afterAutospacing="0"/>
        <w:ind w:firstLine="720"/>
        <w:rPr>
          <w:rFonts w:ascii="Times New Roman" w:hAnsi="Times New Roman" w:cs="Times New Roman"/>
          <w:sz w:val="24"/>
          <w:szCs w:val="24"/>
        </w:rPr>
      </w:pPr>
      <w:r>
        <w:rPr>
          <w:rFonts w:ascii="Times New Roman" w:hAnsi="Times New Roman" w:cs="Times New Roman"/>
          <w:sz w:val="24"/>
          <w:szCs w:val="24"/>
        </w:rPr>
        <w:t>Stated differently</w:t>
      </w:r>
      <w:r w:rsidR="00B061C0" w:rsidRPr="0079750F">
        <w:rPr>
          <w:rFonts w:ascii="Times New Roman" w:hAnsi="Times New Roman" w:cs="Times New Roman"/>
          <w:sz w:val="24"/>
          <w:szCs w:val="24"/>
        </w:rPr>
        <w:t xml:space="preserve">, while </w:t>
      </w:r>
      <w:r>
        <w:rPr>
          <w:rFonts w:ascii="Times New Roman" w:hAnsi="Times New Roman" w:cs="Times New Roman"/>
          <w:sz w:val="24"/>
          <w:szCs w:val="24"/>
        </w:rPr>
        <w:t>self-employed individuals with no employees</w:t>
      </w:r>
      <w:r w:rsidR="00B061C0" w:rsidRPr="0079750F">
        <w:rPr>
          <w:rFonts w:ascii="Times New Roman" w:hAnsi="Times New Roman" w:cs="Times New Roman"/>
          <w:sz w:val="24"/>
          <w:szCs w:val="24"/>
        </w:rPr>
        <w:t xml:space="preserve"> do not act in the capacity of </w:t>
      </w:r>
      <w:r w:rsidR="00A731BA">
        <w:rPr>
          <w:rFonts w:ascii="Times New Roman" w:hAnsi="Times New Roman" w:cs="Times New Roman"/>
          <w:sz w:val="24"/>
          <w:szCs w:val="24"/>
        </w:rPr>
        <w:t>“</w:t>
      </w:r>
      <w:r w:rsidR="00B061C0" w:rsidRPr="0079750F">
        <w:rPr>
          <w:rFonts w:ascii="Times New Roman" w:hAnsi="Times New Roman" w:cs="Times New Roman"/>
          <w:sz w:val="24"/>
          <w:szCs w:val="24"/>
        </w:rPr>
        <w:t>employees</w:t>
      </w:r>
      <w:r w:rsidR="00A731BA">
        <w:rPr>
          <w:rFonts w:ascii="Times New Roman" w:hAnsi="Times New Roman" w:cs="Times New Roman"/>
          <w:sz w:val="24"/>
          <w:szCs w:val="24"/>
        </w:rPr>
        <w:t xml:space="preserve"> who are employed by</w:t>
      </w:r>
      <w:r w:rsidR="00B061C0" w:rsidRPr="0079750F">
        <w:rPr>
          <w:rFonts w:ascii="Times New Roman" w:hAnsi="Times New Roman" w:cs="Times New Roman"/>
          <w:sz w:val="24"/>
          <w:szCs w:val="24"/>
        </w:rPr>
        <w:t xml:space="preserve"> an employer</w:t>
      </w:r>
      <w:r w:rsidR="00A731BA">
        <w:rPr>
          <w:rFonts w:ascii="Times New Roman" w:hAnsi="Times New Roman" w:cs="Times New Roman"/>
          <w:sz w:val="24"/>
          <w:szCs w:val="24"/>
        </w:rPr>
        <w:t>”</w:t>
      </w:r>
      <w:r w:rsidR="00B061C0" w:rsidRPr="0079750F">
        <w:rPr>
          <w:rFonts w:ascii="Times New Roman" w:hAnsi="Times New Roman" w:cs="Times New Roman"/>
          <w:sz w:val="24"/>
          <w:szCs w:val="24"/>
        </w:rPr>
        <w:t xml:space="preserve"> in the traditional employment sense, these </w:t>
      </w:r>
      <w:r>
        <w:rPr>
          <w:rFonts w:ascii="Times New Roman" w:hAnsi="Times New Roman" w:cs="Times New Roman"/>
          <w:sz w:val="24"/>
          <w:szCs w:val="24"/>
        </w:rPr>
        <w:t>self-employed individuals</w:t>
      </w:r>
      <w:r w:rsidR="00B061C0" w:rsidRPr="0079750F">
        <w:rPr>
          <w:rFonts w:ascii="Times New Roman" w:hAnsi="Times New Roman" w:cs="Times New Roman"/>
          <w:sz w:val="24"/>
          <w:szCs w:val="24"/>
        </w:rPr>
        <w:t xml:space="preserve"> continue to provide services just like an employee</w:t>
      </w:r>
      <w:r w:rsidR="00283FEC">
        <w:rPr>
          <w:rFonts w:ascii="Times New Roman" w:hAnsi="Times New Roman" w:cs="Times New Roman"/>
          <w:sz w:val="24"/>
          <w:szCs w:val="24"/>
        </w:rPr>
        <w:t xml:space="preserve"> (generating income that is taxed just like wages)</w:t>
      </w:r>
      <w:r w:rsidR="00620E9D">
        <w:rPr>
          <w:rFonts w:ascii="Times New Roman" w:hAnsi="Times New Roman" w:cs="Times New Roman"/>
          <w:sz w:val="24"/>
          <w:szCs w:val="24"/>
        </w:rPr>
        <w:t>.  T</w:t>
      </w:r>
      <w:r w:rsidR="001C04C8">
        <w:rPr>
          <w:rFonts w:ascii="Times New Roman" w:hAnsi="Times New Roman" w:cs="Times New Roman"/>
          <w:sz w:val="24"/>
          <w:szCs w:val="24"/>
        </w:rPr>
        <w:t xml:space="preserve">hese </w:t>
      </w:r>
      <w:r w:rsidR="00620E9D">
        <w:rPr>
          <w:rFonts w:ascii="Times New Roman" w:hAnsi="Times New Roman" w:cs="Times New Roman"/>
          <w:sz w:val="24"/>
          <w:szCs w:val="24"/>
        </w:rPr>
        <w:t xml:space="preserve">same </w:t>
      </w:r>
      <w:r w:rsidR="001C04C8">
        <w:rPr>
          <w:rFonts w:ascii="Times New Roman" w:hAnsi="Times New Roman" w:cs="Times New Roman"/>
          <w:sz w:val="24"/>
          <w:szCs w:val="24"/>
        </w:rPr>
        <w:t xml:space="preserve">self-employed </w:t>
      </w:r>
      <w:r w:rsidR="00620E9D">
        <w:rPr>
          <w:rFonts w:ascii="Times New Roman" w:hAnsi="Times New Roman" w:cs="Times New Roman"/>
          <w:sz w:val="24"/>
          <w:szCs w:val="24"/>
        </w:rPr>
        <w:t xml:space="preserve">individuals </w:t>
      </w:r>
      <w:r w:rsidR="009268AD">
        <w:rPr>
          <w:rFonts w:ascii="Times New Roman" w:hAnsi="Times New Roman" w:cs="Times New Roman"/>
          <w:sz w:val="24"/>
          <w:szCs w:val="24"/>
        </w:rPr>
        <w:t xml:space="preserve">also </w:t>
      </w:r>
      <w:r w:rsidR="00545D6A">
        <w:rPr>
          <w:rFonts w:ascii="Times New Roman" w:hAnsi="Times New Roman" w:cs="Times New Roman"/>
          <w:sz w:val="24"/>
          <w:szCs w:val="24"/>
        </w:rPr>
        <w:t xml:space="preserve">operate as </w:t>
      </w:r>
      <w:r w:rsidR="009268AD">
        <w:rPr>
          <w:rFonts w:ascii="Times New Roman" w:hAnsi="Times New Roman" w:cs="Times New Roman"/>
          <w:sz w:val="24"/>
          <w:szCs w:val="24"/>
        </w:rPr>
        <w:t xml:space="preserve">an employer </w:t>
      </w:r>
      <w:r w:rsidR="00545D6A">
        <w:rPr>
          <w:rFonts w:ascii="Times New Roman" w:hAnsi="Times New Roman" w:cs="Times New Roman"/>
          <w:sz w:val="24"/>
          <w:szCs w:val="24"/>
        </w:rPr>
        <w:t>of a trade or business</w:t>
      </w:r>
      <w:r w:rsidR="00B061C0" w:rsidRPr="0079750F">
        <w:rPr>
          <w:rFonts w:ascii="Times New Roman" w:hAnsi="Times New Roman" w:cs="Times New Roman"/>
          <w:sz w:val="24"/>
          <w:szCs w:val="24"/>
        </w:rPr>
        <w:t xml:space="preserve">.  A failure to recognize that </w:t>
      </w:r>
      <w:proofErr w:type="gramStart"/>
      <w:r w:rsidR="00B061C0" w:rsidRPr="0079750F">
        <w:rPr>
          <w:rFonts w:ascii="Times New Roman" w:hAnsi="Times New Roman" w:cs="Times New Roman"/>
          <w:sz w:val="24"/>
          <w:szCs w:val="24"/>
        </w:rPr>
        <w:t>these revenue</w:t>
      </w:r>
      <w:proofErr w:type="gramEnd"/>
      <w:r w:rsidR="00B061C0" w:rsidRPr="0079750F">
        <w:rPr>
          <w:rFonts w:ascii="Times New Roman" w:hAnsi="Times New Roman" w:cs="Times New Roman"/>
          <w:sz w:val="24"/>
          <w:szCs w:val="24"/>
        </w:rPr>
        <w:t xml:space="preserve"> generating, taxpaying </w:t>
      </w:r>
      <w:r w:rsidR="00D566B5">
        <w:rPr>
          <w:rFonts w:ascii="Times New Roman" w:hAnsi="Times New Roman" w:cs="Times New Roman"/>
          <w:sz w:val="24"/>
          <w:szCs w:val="24"/>
        </w:rPr>
        <w:t>self-employed individuals</w:t>
      </w:r>
      <w:r w:rsidR="00B061C0" w:rsidRPr="0079750F">
        <w:rPr>
          <w:rFonts w:ascii="Times New Roman" w:hAnsi="Times New Roman" w:cs="Times New Roman"/>
          <w:sz w:val="24"/>
          <w:szCs w:val="24"/>
        </w:rPr>
        <w:t xml:space="preserve"> operate in an employment setting is a failure to recognize that we now live in a competitive, global economy that no longer relies on a workforce made up of the </w:t>
      </w:r>
      <w:r w:rsidR="007A7FDD">
        <w:rPr>
          <w:rFonts w:ascii="Times New Roman" w:hAnsi="Times New Roman" w:cs="Times New Roman"/>
          <w:sz w:val="24"/>
          <w:szCs w:val="24"/>
        </w:rPr>
        <w:t xml:space="preserve">traditional </w:t>
      </w:r>
      <w:r w:rsidR="009E1187">
        <w:rPr>
          <w:rFonts w:ascii="Times New Roman" w:hAnsi="Times New Roman" w:cs="Times New Roman"/>
          <w:sz w:val="24"/>
          <w:szCs w:val="24"/>
        </w:rPr>
        <w:t>“</w:t>
      </w:r>
      <w:r w:rsidR="00B061C0" w:rsidRPr="0079750F">
        <w:rPr>
          <w:rFonts w:ascii="Times New Roman" w:hAnsi="Times New Roman" w:cs="Times New Roman"/>
          <w:sz w:val="24"/>
          <w:szCs w:val="24"/>
        </w:rPr>
        <w:t>employee employed by a</w:t>
      </w:r>
      <w:r w:rsidR="001A4415">
        <w:rPr>
          <w:rFonts w:ascii="Times New Roman" w:hAnsi="Times New Roman" w:cs="Times New Roman"/>
          <w:sz w:val="24"/>
          <w:szCs w:val="24"/>
        </w:rPr>
        <w:t>n</w:t>
      </w:r>
      <w:r w:rsidR="00B061C0" w:rsidRPr="0079750F">
        <w:rPr>
          <w:rFonts w:ascii="Times New Roman" w:hAnsi="Times New Roman" w:cs="Times New Roman"/>
          <w:sz w:val="24"/>
          <w:szCs w:val="24"/>
        </w:rPr>
        <w:t xml:space="preserve"> employer.</w:t>
      </w:r>
      <w:r w:rsidR="009E1187">
        <w:rPr>
          <w:rFonts w:ascii="Times New Roman" w:hAnsi="Times New Roman" w:cs="Times New Roman"/>
          <w:sz w:val="24"/>
          <w:szCs w:val="24"/>
        </w:rPr>
        <w:t>”</w:t>
      </w:r>
      <w:r w:rsidR="00B061C0" w:rsidRPr="0079750F">
        <w:rPr>
          <w:rFonts w:ascii="Times New Roman" w:hAnsi="Times New Roman" w:cs="Times New Roman"/>
          <w:sz w:val="24"/>
          <w:szCs w:val="24"/>
        </w:rPr>
        <w:t> </w:t>
      </w:r>
    </w:p>
    <w:p w14:paraId="4D879E57" w14:textId="77777777" w:rsidR="00380D35" w:rsidRDefault="00380D35" w:rsidP="00380D35">
      <w:pPr>
        <w:pStyle w:val="gmail-m2130251007277228355msobodytext"/>
        <w:spacing w:before="0" w:beforeAutospacing="0" w:after="0" w:afterAutospacing="0"/>
        <w:ind w:firstLine="720"/>
        <w:rPr>
          <w:rFonts w:ascii="Times New Roman" w:hAnsi="Times New Roman" w:cs="Times New Roman"/>
          <w:sz w:val="24"/>
          <w:szCs w:val="24"/>
        </w:rPr>
      </w:pPr>
    </w:p>
    <w:p w14:paraId="0A74E9B9" w14:textId="2D41A4F5" w:rsidR="00155669" w:rsidRPr="00C80138" w:rsidRDefault="006A4FCC" w:rsidP="00380D35">
      <w:pPr>
        <w:ind w:firstLine="720"/>
      </w:pPr>
      <w:r>
        <w:t>In r</w:t>
      </w:r>
      <w:r w:rsidR="00B061C0">
        <w:t>ecog</w:t>
      </w:r>
      <w:r>
        <w:t>nition of</w:t>
      </w:r>
      <w:r w:rsidR="00B061C0">
        <w:t xml:space="preserve"> these changing </w:t>
      </w:r>
      <w:r w:rsidR="00755E1F">
        <w:t>economic</w:t>
      </w:r>
      <w:r w:rsidR="00B061C0">
        <w:t xml:space="preserve"> dynamics, </w:t>
      </w:r>
      <w:r w:rsidR="00755E1F">
        <w:t xml:space="preserve">it is imperative that </w:t>
      </w:r>
      <w:r w:rsidR="009725E1">
        <w:t xml:space="preserve">Congress </w:t>
      </w:r>
      <w:r w:rsidR="007F0BCA">
        <w:t xml:space="preserve">and the Department of Labor </w:t>
      </w:r>
      <w:r w:rsidR="001C1E0A">
        <w:t xml:space="preserve">update our nation’s laws </w:t>
      </w:r>
      <w:r w:rsidR="007F0BCA">
        <w:t xml:space="preserve">and regulations </w:t>
      </w:r>
      <w:r w:rsidR="001C1E0A">
        <w:t xml:space="preserve">by </w:t>
      </w:r>
      <w:r w:rsidR="00B061C0">
        <w:t>develop</w:t>
      </w:r>
      <w:r w:rsidR="001C1E0A">
        <w:t>ing</w:t>
      </w:r>
      <w:r w:rsidR="00B061C0">
        <w:t xml:space="preserve"> a flexible </w:t>
      </w:r>
      <w:r w:rsidR="000D39E2">
        <w:t xml:space="preserve">framework </w:t>
      </w:r>
      <w:r w:rsidR="00B061C0">
        <w:t>that permit</w:t>
      </w:r>
      <w:r w:rsidR="000D39E2">
        <w:t>s</w:t>
      </w:r>
      <w:r w:rsidR="00B061C0">
        <w:t xml:space="preserve"> </w:t>
      </w:r>
      <w:r w:rsidR="000D39E2">
        <w:t xml:space="preserve">self-employed individuals with no employees </w:t>
      </w:r>
      <w:r w:rsidR="00B061C0">
        <w:t xml:space="preserve">to access </w:t>
      </w:r>
      <w:r w:rsidR="000D39E2">
        <w:t>affordable and comprehensive health coverage through an AHP</w:t>
      </w:r>
      <w:r w:rsidR="00B061C0">
        <w:t xml:space="preserve">.  </w:t>
      </w:r>
    </w:p>
    <w:p w14:paraId="3AA10BE4" w14:textId="77777777" w:rsidR="006C435F" w:rsidRDefault="006C435F" w:rsidP="001B2A1B">
      <w:pPr>
        <w:rPr>
          <w:b/>
          <w:bCs/>
        </w:rPr>
      </w:pPr>
    </w:p>
    <w:p w14:paraId="16C3844A" w14:textId="32567A5D" w:rsidR="0082352F" w:rsidRPr="007B394D" w:rsidRDefault="00CE27B2" w:rsidP="00CE27B2">
      <w:pPr>
        <w:ind w:left="720" w:hanging="720"/>
        <w:rPr>
          <w:b/>
          <w:bCs/>
          <w:i/>
          <w:iCs/>
        </w:rPr>
      </w:pPr>
      <w:r>
        <w:rPr>
          <w:b/>
          <w:bCs/>
        </w:rPr>
        <w:t>V.</w:t>
      </w:r>
      <w:r>
        <w:rPr>
          <w:b/>
          <w:bCs/>
        </w:rPr>
        <w:tab/>
      </w:r>
      <w:r w:rsidR="008C089F" w:rsidRPr="00CE27B2">
        <w:rPr>
          <w:b/>
          <w:bCs/>
          <w:i/>
          <w:iCs/>
        </w:rPr>
        <w:t>Our Coalition Members</w:t>
      </w:r>
      <w:r w:rsidR="00FA64AD" w:rsidRPr="00CE27B2">
        <w:rPr>
          <w:b/>
          <w:bCs/>
          <w:i/>
          <w:iCs/>
        </w:rPr>
        <w:t xml:space="preserve"> Offer of </w:t>
      </w:r>
      <w:r w:rsidR="00FA64AD">
        <w:rPr>
          <w:b/>
          <w:bCs/>
        </w:rPr>
        <w:t>C</w:t>
      </w:r>
      <w:r w:rsidR="0082352F" w:rsidRPr="007B394D">
        <w:rPr>
          <w:b/>
          <w:bCs/>
          <w:i/>
          <w:iCs/>
        </w:rPr>
        <w:t>omprehensive</w:t>
      </w:r>
      <w:r w:rsidR="00FD0C36">
        <w:rPr>
          <w:b/>
          <w:bCs/>
          <w:i/>
          <w:iCs/>
        </w:rPr>
        <w:t xml:space="preserve"> and Affordable </w:t>
      </w:r>
      <w:r w:rsidR="0082352F" w:rsidRPr="007B394D">
        <w:rPr>
          <w:b/>
          <w:bCs/>
          <w:i/>
          <w:iCs/>
        </w:rPr>
        <w:t>Coverage</w:t>
      </w:r>
      <w:r w:rsidR="0082352F">
        <w:rPr>
          <w:b/>
          <w:bCs/>
          <w:i/>
          <w:iCs/>
        </w:rPr>
        <w:t xml:space="preserve"> </w:t>
      </w:r>
      <w:r w:rsidR="0082352F" w:rsidRPr="007B394D">
        <w:rPr>
          <w:b/>
          <w:bCs/>
          <w:i/>
          <w:iCs/>
        </w:rPr>
        <w:t>Throug</w:t>
      </w:r>
      <w:r w:rsidR="00FA64AD">
        <w:rPr>
          <w:b/>
          <w:bCs/>
          <w:i/>
          <w:iCs/>
        </w:rPr>
        <w:t xml:space="preserve">h </w:t>
      </w:r>
      <w:r w:rsidR="0082352F" w:rsidRPr="007B394D">
        <w:rPr>
          <w:b/>
          <w:bCs/>
          <w:i/>
          <w:iCs/>
        </w:rPr>
        <w:t>an</w:t>
      </w:r>
      <w:r>
        <w:rPr>
          <w:b/>
          <w:bCs/>
          <w:i/>
          <w:iCs/>
        </w:rPr>
        <w:t xml:space="preserve"> </w:t>
      </w:r>
      <w:r w:rsidR="0082352F" w:rsidRPr="007B394D">
        <w:rPr>
          <w:b/>
          <w:bCs/>
          <w:i/>
          <w:iCs/>
        </w:rPr>
        <w:t>AHP</w:t>
      </w:r>
    </w:p>
    <w:p w14:paraId="65B6D92F" w14:textId="77777777" w:rsidR="0082352F" w:rsidRDefault="0082352F" w:rsidP="0082352F"/>
    <w:p w14:paraId="32B6BE4C" w14:textId="3805F94D" w:rsidR="0082352F" w:rsidRPr="001571E5" w:rsidRDefault="0082352F" w:rsidP="0082352F">
      <w:pPr>
        <w:autoSpaceDE w:val="0"/>
        <w:autoSpaceDN w:val="0"/>
        <w:adjustRightInd w:val="0"/>
        <w:ind w:firstLine="720"/>
      </w:pPr>
      <w:r>
        <w:t xml:space="preserve">Our </w:t>
      </w:r>
      <w:r w:rsidRPr="00366464">
        <w:t>Coalition</w:t>
      </w:r>
      <w:r>
        <w:t>’s</w:t>
      </w:r>
      <w:r w:rsidRPr="00366464">
        <w:t xml:space="preserve"> member</w:t>
      </w:r>
      <w:r>
        <w:t>ship-based organizations</w:t>
      </w:r>
      <w:r w:rsidRPr="00366464">
        <w:t xml:space="preserve"> </w:t>
      </w:r>
      <w:r>
        <w:t>represent</w:t>
      </w:r>
      <w:r w:rsidRPr="00366464">
        <w:t xml:space="preserve"> over 1 million</w:t>
      </w:r>
      <w:r>
        <w:t xml:space="preserve"> </w:t>
      </w:r>
      <w:r w:rsidRPr="00366464">
        <w:t>small employers</w:t>
      </w:r>
      <w:r>
        <w:t>,</w:t>
      </w:r>
      <w:r w:rsidRPr="00366464">
        <w:t xml:space="preserve"> and</w:t>
      </w:r>
      <w:r>
        <w:t xml:space="preserve"> millions more who are </w:t>
      </w:r>
      <w:r w:rsidRPr="00366464">
        <w:t xml:space="preserve">employees </w:t>
      </w:r>
      <w:r>
        <w:t xml:space="preserve">of these small employer-members or who are </w:t>
      </w:r>
      <w:r w:rsidRPr="00366464">
        <w:t>self-employed</w:t>
      </w:r>
      <w:r>
        <w:t xml:space="preserve"> with no employees</w:t>
      </w:r>
      <w:r w:rsidRPr="00366464">
        <w:t xml:space="preserve">, the majority of whom would be eligible to obtain health coverage through an </w:t>
      </w:r>
      <w:r>
        <w:t>AHP</w:t>
      </w:r>
      <w:r w:rsidRPr="00366464">
        <w:t xml:space="preserve"> </w:t>
      </w:r>
      <w:r>
        <w:t>if Federal law allowed AHPs to cover (1) employe</w:t>
      </w:r>
      <w:r w:rsidR="00ED696A">
        <w:t>es</w:t>
      </w:r>
      <w:r>
        <w:t xml:space="preserve"> in </w:t>
      </w:r>
      <w:r w:rsidRPr="00535968">
        <w:rPr>
          <w:i/>
          <w:iCs/>
        </w:rPr>
        <w:t>different industries</w:t>
      </w:r>
      <w:r>
        <w:t xml:space="preserve"> and (2) </w:t>
      </w:r>
      <w:r w:rsidRPr="000E7305">
        <w:rPr>
          <w:i/>
          <w:iCs/>
        </w:rPr>
        <w:t>self-employed individuals with no employees</w:t>
      </w:r>
      <w:r w:rsidRPr="00366464">
        <w:t>.</w:t>
      </w:r>
      <w:r w:rsidR="00C728FB">
        <w:t xml:space="preserve"> </w:t>
      </w:r>
      <w:r w:rsidRPr="00366464">
        <w:t xml:space="preserve"> </w:t>
      </w:r>
      <w:r w:rsidR="00F14700">
        <w:t>Our Coalition</w:t>
      </w:r>
      <w:r w:rsidR="009A501F">
        <w:t>’s m</w:t>
      </w:r>
      <w:r>
        <w:t xml:space="preserve">embership-based organizations with employers in the </w:t>
      </w:r>
      <w:r w:rsidRPr="00535968">
        <w:rPr>
          <w:i/>
          <w:iCs/>
        </w:rPr>
        <w:t>same industry</w:t>
      </w:r>
      <w:r>
        <w:t xml:space="preserve"> </w:t>
      </w:r>
      <w:r w:rsidR="00AF6D8B" w:rsidRPr="00A4219B">
        <w:rPr>
          <w:b/>
          <w:bCs/>
        </w:rPr>
        <w:t>ALREADY</w:t>
      </w:r>
      <w:r>
        <w:t xml:space="preserve"> provide comprehensive and affordable health coverage to tens of t</w:t>
      </w:r>
      <w:r w:rsidRPr="00447762">
        <w:t>housands of emp</w:t>
      </w:r>
      <w:r>
        <w:t>loyees through an AHP in accordance with existing law</w:t>
      </w:r>
      <w:r w:rsidRPr="00447762">
        <w:t>.</w:t>
      </w:r>
    </w:p>
    <w:p w14:paraId="259AB045" w14:textId="77777777" w:rsidR="00380D35" w:rsidRDefault="00380D35" w:rsidP="0082352F"/>
    <w:p w14:paraId="7DB4DB57" w14:textId="77777777" w:rsidR="00D916F2" w:rsidRDefault="00D916F2" w:rsidP="0082352F"/>
    <w:p w14:paraId="6C222BEA" w14:textId="77777777" w:rsidR="00D916F2" w:rsidRDefault="00D916F2" w:rsidP="0082352F"/>
    <w:p w14:paraId="093A0A46" w14:textId="77777777" w:rsidR="0082352F" w:rsidRPr="00F518BA" w:rsidRDefault="0082352F" w:rsidP="0082352F">
      <w:pPr>
        <w:pStyle w:val="ListParagraph"/>
        <w:numPr>
          <w:ilvl w:val="0"/>
          <w:numId w:val="11"/>
        </w:numPr>
        <w:spacing w:after="0" w:line="240" w:lineRule="auto"/>
        <w:rPr>
          <w:rFonts w:ascii="Times New Roman" w:hAnsi="Times New Roman" w:cs="Times New Roman"/>
          <w:bCs/>
          <w:sz w:val="24"/>
          <w:szCs w:val="24"/>
          <w:u w:val="single"/>
        </w:rPr>
      </w:pPr>
      <w:r w:rsidRPr="00F518BA">
        <w:rPr>
          <w:rFonts w:ascii="Times New Roman" w:hAnsi="Times New Roman" w:cs="Times New Roman"/>
          <w:bCs/>
          <w:sz w:val="24"/>
          <w:szCs w:val="24"/>
          <w:u w:val="single"/>
        </w:rPr>
        <w:t>Voluntary Cover</w:t>
      </w:r>
      <w:r>
        <w:rPr>
          <w:rFonts w:ascii="Times New Roman" w:hAnsi="Times New Roman" w:cs="Times New Roman"/>
          <w:bCs/>
          <w:sz w:val="24"/>
          <w:szCs w:val="24"/>
          <w:u w:val="single"/>
        </w:rPr>
        <w:t xml:space="preserve">age of </w:t>
      </w:r>
      <w:r w:rsidRPr="00F518BA">
        <w:rPr>
          <w:rFonts w:ascii="Times New Roman" w:hAnsi="Times New Roman" w:cs="Times New Roman"/>
          <w:bCs/>
          <w:sz w:val="24"/>
          <w:szCs w:val="24"/>
          <w:u w:val="single"/>
        </w:rPr>
        <w:t>the “Essential Health Benefits”</w:t>
      </w:r>
    </w:p>
    <w:p w14:paraId="12A8CC17" w14:textId="77777777" w:rsidR="0082352F" w:rsidRPr="0026305E" w:rsidRDefault="0082352F" w:rsidP="0082352F">
      <w:pPr>
        <w:rPr>
          <w:b/>
        </w:rPr>
      </w:pPr>
    </w:p>
    <w:p w14:paraId="64DD2E33" w14:textId="5EEFACE2" w:rsidR="00381392" w:rsidRPr="00A84FD9" w:rsidRDefault="00381392" w:rsidP="00381392">
      <w:pPr>
        <w:ind w:firstLine="720"/>
      </w:pPr>
      <w:proofErr w:type="gramStart"/>
      <w:r w:rsidRPr="00A84FD9">
        <w:t>All of</w:t>
      </w:r>
      <w:proofErr w:type="gramEnd"/>
      <w:r w:rsidRPr="00A84FD9">
        <w:t xml:space="preserve"> our AHP Coalition members that offered an AHP to (1) employe</w:t>
      </w:r>
      <w:r w:rsidR="00F65606">
        <w:t>e</w:t>
      </w:r>
      <w:r w:rsidRPr="00A84FD9">
        <w:t xml:space="preserve">s in </w:t>
      </w:r>
      <w:r w:rsidRPr="004C02F9">
        <w:rPr>
          <w:i/>
          <w:iCs/>
        </w:rPr>
        <w:t>different industries</w:t>
      </w:r>
      <w:r w:rsidRPr="00A84FD9">
        <w:t xml:space="preserve"> and (</w:t>
      </w:r>
      <w:r>
        <w:t>2</w:t>
      </w:r>
      <w:r w:rsidRPr="00A84FD9">
        <w:t xml:space="preserve">) </w:t>
      </w:r>
      <w:r w:rsidRPr="0062269A">
        <w:rPr>
          <w:i/>
          <w:iCs/>
        </w:rPr>
        <w:t>self-employed individuals with no employees</w:t>
      </w:r>
      <w:r w:rsidRPr="00A84FD9">
        <w:t xml:space="preserve"> during the 2019 plan year</w:t>
      </w:r>
      <w:r w:rsidR="00E04BB4">
        <w:t xml:space="preserve"> – along with all of our AHP Coalition members that </w:t>
      </w:r>
      <w:r w:rsidR="00DF68A0" w:rsidRPr="00625F43">
        <w:rPr>
          <w:b/>
          <w:bCs/>
        </w:rPr>
        <w:t>CURRENTLY</w:t>
      </w:r>
      <w:r w:rsidR="00E04BB4">
        <w:t xml:space="preserve"> offer an AHP to employers in the </w:t>
      </w:r>
      <w:r w:rsidR="00E04BB4" w:rsidRPr="00E04BB4">
        <w:rPr>
          <w:i/>
          <w:iCs/>
        </w:rPr>
        <w:t>same industry</w:t>
      </w:r>
      <w:r w:rsidRPr="00A84FD9">
        <w:t xml:space="preserve"> </w:t>
      </w:r>
      <w:r w:rsidR="00E04BB4">
        <w:t xml:space="preserve">– </w:t>
      </w:r>
      <w:r w:rsidRPr="00A84FD9">
        <w:rPr>
          <w:i/>
          <w:iCs/>
        </w:rPr>
        <w:t>voluntarily</w:t>
      </w:r>
      <w:r w:rsidRPr="00A84FD9">
        <w:t xml:space="preserve"> covered all ten of the ACA’s EHBs.</w:t>
      </w:r>
    </w:p>
    <w:p w14:paraId="144637F3" w14:textId="77777777" w:rsidR="00381392" w:rsidRDefault="00381392" w:rsidP="005E4EB7"/>
    <w:p w14:paraId="215617D5" w14:textId="738EE400" w:rsidR="0082352F" w:rsidRPr="00A84FD9" w:rsidRDefault="0082352F" w:rsidP="0082352F">
      <w:pPr>
        <w:ind w:firstLine="720"/>
      </w:pPr>
      <w:r w:rsidRPr="00A84FD9">
        <w:t xml:space="preserve">It is important to emphasize that the tenth EHB requires “pediatric services, including oral </w:t>
      </w:r>
      <w:r w:rsidR="00D36D72" w:rsidRPr="00A84FD9">
        <w:t>(i.e., dental)</w:t>
      </w:r>
      <w:r w:rsidR="00D36D72">
        <w:t xml:space="preserve"> </w:t>
      </w:r>
      <w:r w:rsidRPr="00A84FD9">
        <w:t xml:space="preserve">and vision care.”  Every AHP in our Coalition provided </w:t>
      </w:r>
      <w:r w:rsidR="00D36D72">
        <w:t>“</w:t>
      </w:r>
      <w:r w:rsidRPr="00A84FD9">
        <w:t>pediatric major medical health coverage</w:t>
      </w:r>
      <w:r w:rsidR="00FC20F5">
        <w:t>,</w:t>
      </w:r>
      <w:r w:rsidR="00D36D72">
        <w:t>”</w:t>
      </w:r>
      <w:r w:rsidR="00FC20F5">
        <w:t xml:space="preserve"> as well as “pediatric dental and vision care.”</w:t>
      </w:r>
      <w:r w:rsidRPr="00A84FD9">
        <w:t xml:space="preserve">  Some AHPs covered </w:t>
      </w:r>
      <w:r w:rsidR="00101BB1">
        <w:t>“</w:t>
      </w:r>
      <w:r w:rsidR="00FC20F5">
        <w:t xml:space="preserve">pediatric </w:t>
      </w:r>
      <w:r w:rsidR="00AF5131">
        <w:t>denta</w:t>
      </w:r>
      <w:r w:rsidRPr="00A84FD9">
        <w:t>l and vision care</w:t>
      </w:r>
      <w:r w:rsidR="00101BB1">
        <w:t>”</w:t>
      </w:r>
      <w:r w:rsidRPr="00A84FD9">
        <w:t xml:space="preserve"> through the AHP insurance contract itself, while others provided </w:t>
      </w:r>
      <w:r w:rsidR="00101BB1">
        <w:t>“</w:t>
      </w:r>
      <w:r w:rsidR="00FC20F5">
        <w:t xml:space="preserve">pediatric </w:t>
      </w:r>
      <w:r w:rsidR="00AF5131">
        <w:t>denta</w:t>
      </w:r>
      <w:r w:rsidR="00101BB1">
        <w:t>l</w:t>
      </w:r>
      <w:r w:rsidRPr="00A84FD9">
        <w:t xml:space="preserve"> and vision care</w:t>
      </w:r>
      <w:r w:rsidR="00101BB1">
        <w:t>”</w:t>
      </w:r>
      <w:r w:rsidRPr="00A84FD9">
        <w:t xml:space="preserve"> through stand-alone products.  In both cases, </w:t>
      </w:r>
      <w:r w:rsidRPr="00A84FD9">
        <w:rPr>
          <w:i/>
          <w:iCs/>
        </w:rPr>
        <w:t xml:space="preserve">all </w:t>
      </w:r>
      <w:r w:rsidRPr="00A84FD9">
        <w:t>ten of the EHBs were covered.</w:t>
      </w:r>
    </w:p>
    <w:p w14:paraId="7EDD0743" w14:textId="77777777" w:rsidR="0082352F" w:rsidRPr="00AC6CE0" w:rsidRDefault="0082352F" w:rsidP="0082352F">
      <w:pPr>
        <w:pStyle w:val="ListParagraph"/>
        <w:spacing w:after="0" w:line="240" w:lineRule="auto"/>
        <w:rPr>
          <w:rFonts w:ascii="Times New Roman" w:hAnsi="Times New Roman" w:cs="Times New Roman"/>
          <w:sz w:val="24"/>
          <w:szCs w:val="24"/>
        </w:rPr>
      </w:pPr>
    </w:p>
    <w:p w14:paraId="3B12EF80" w14:textId="77777777" w:rsidR="00F65606" w:rsidRDefault="0082352F" w:rsidP="0082352F">
      <w:pPr>
        <w:ind w:firstLine="720"/>
      </w:pPr>
      <w:r w:rsidRPr="00A84FD9">
        <w:t xml:space="preserve">Those AHPs that offered </w:t>
      </w:r>
      <w:r w:rsidR="00C3528E">
        <w:t>“</w:t>
      </w:r>
      <w:r w:rsidRPr="00A84FD9">
        <w:t xml:space="preserve">pediatric dental and vision </w:t>
      </w:r>
      <w:r w:rsidR="00C3528E">
        <w:t>care”</w:t>
      </w:r>
      <w:r w:rsidRPr="00A84FD9">
        <w:t xml:space="preserve"> through a stand-alone product chose to do so because the Board governing the AHP determined that pediatric dental and vision benefits can be provided through a stand-alone product at a lower cost, while providing the same – if not a better – level coverage than if these services were offered through the AHP insurance contract itself.  </w:t>
      </w:r>
    </w:p>
    <w:p w14:paraId="60CDD1D9" w14:textId="77777777" w:rsidR="00F65606" w:rsidRDefault="00F65606" w:rsidP="0082352F">
      <w:pPr>
        <w:ind w:firstLine="720"/>
      </w:pPr>
    </w:p>
    <w:p w14:paraId="006CA116" w14:textId="52F86CA3" w:rsidR="0082352F" w:rsidRPr="006C0C94" w:rsidRDefault="0082352F" w:rsidP="0082352F">
      <w:pPr>
        <w:ind w:firstLine="720"/>
      </w:pPr>
      <w:r w:rsidRPr="0089565F">
        <w:t xml:space="preserve">It is important to </w:t>
      </w:r>
      <w:r>
        <w:t>point out</w:t>
      </w:r>
      <w:r w:rsidRPr="0089565F">
        <w:t xml:space="preserve"> that the “control” test applicable to </w:t>
      </w:r>
      <w:r>
        <w:t>an AHP</w:t>
      </w:r>
      <w:r w:rsidRPr="0089565F">
        <w:t xml:space="preserve"> imposes a fiduciary duty on the Board governing the AHP, requiring the Board to “act solely in the interest” of the AHP participants and “for the exclusive purposes of providing benefits to participants and their beneficiaries</w:t>
      </w:r>
      <w:r>
        <w:t>…</w:t>
      </w:r>
      <w:r w:rsidRPr="0089565F">
        <w:t>and</w:t>
      </w:r>
      <w:r>
        <w:t>…</w:t>
      </w:r>
      <w:r w:rsidRPr="0089565F">
        <w:t>defraying reasonable expenses of administering the plan…”</w:t>
      </w:r>
      <w:r>
        <w:rPr>
          <w:rStyle w:val="FootnoteReference"/>
        </w:rPr>
        <w:footnoteReference w:id="8"/>
      </w:r>
      <w:r w:rsidRPr="0089565F">
        <w:t xml:space="preserve">  </w:t>
      </w:r>
      <w:r w:rsidRPr="006C0C94">
        <w:t>The requirement to adhere to these fiduciary duties drove the Board’s decision-making (to do otherwise would result in a fiduciary breach under ERISA).</w:t>
      </w:r>
    </w:p>
    <w:p w14:paraId="626C7353" w14:textId="77777777" w:rsidR="0082352F" w:rsidRPr="00F518BA" w:rsidRDefault="0082352F" w:rsidP="0082352F">
      <w:pPr>
        <w:rPr>
          <w:bCs/>
          <w:i/>
          <w:iCs/>
          <w:u w:val="single"/>
        </w:rPr>
      </w:pPr>
    </w:p>
    <w:p w14:paraId="7591290B" w14:textId="2360D3C4" w:rsidR="0082352F" w:rsidRPr="00F518BA" w:rsidRDefault="0082352F" w:rsidP="0082352F">
      <w:pPr>
        <w:pStyle w:val="ListParagraph"/>
        <w:numPr>
          <w:ilvl w:val="0"/>
          <w:numId w:val="11"/>
        </w:numPr>
        <w:spacing w:after="0" w:line="240" w:lineRule="auto"/>
        <w:rPr>
          <w:rFonts w:ascii="Times New Roman" w:hAnsi="Times New Roman" w:cs="Times New Roman"/>
          <w:bCs/>
          <w:sz w:val="24"/>
          <w:szCs w:val="24"/>
          <w:u w:val="single"/>
        </w:rPr>
      </w:pPr>
      <w:r w:rsidRPr="00F518BA">
        <w:rPr>
          <w:rFonts w:ascii="Times New Roman" w:hAnsi="Times New Roman" w:cs="Times New Roman"/>
          <w:bCs/>
          <w:sz w:val="24"/>
          <w:szCs w:val="24"/>
          <w:u w:val="single"/>
        </w:rPr>
        <w:t>Broader Provider Networks Than “Individual” and “Small Group” Market Plans</w:t>
      </w:r>
    </w:p>
    <w:p w14:paraId="5CE073E5" w14:textId="77777777" w:rsidR="0082352F" w:rsidRPr="00F518BA" w:rsidRDefault="0082352F" w:rsidP="0082352F"/>
    <w:p w14:paraId="29CAFD6C" w14:textId="31FDA292" w:rsidR="0082352F" w:rsidRPr="006C0C94" w:rsidRDefault="0082352F" w:rsidP="0082352F">
      <w:pPr>
        <w:ind w:firstLine="720"/>
      </w:pPr>
      <w:r w:rsidRPr="006C0C94">
        <w:t xml:space="preserve">In addition to </w:t>
      </w:r>
      <w:r w:rsidRPr="006C0C94">
        <w:rPr>
          <w:i/>
          <w:iCs/>
        </w:rPr>
        <w:t>voluntarily</w:t>
      </w:r>
      <w:r w:rsidRPr="006C0C94">
        <w:t xml:space="preserve"> covering the EHBs, </w:t>
      </w:r>
      <w:r w:rsidR="00AA0765">
        <w:t>our Coalition member’s</w:t>
      </w:r>
      <w:r w:rsidRPr="006C0C94">
        <w:t xml:space="preserve"> AHPs </w:t>
      </w:r>
      <w:r w:rsidR="00AA0765">
        <w:t>offer/</w:t>
      </w:r>
      <w:r w:rsidRPr="006C0C94">
        <w:t>offered broader “health care provider networks” relative to many existing ACA “small group” and “individual” market plans.</w:t>
      </w:r>
    </w:p>
    <w:p w14:paraId="227DF3E2" w14:textId="77777777" w:rsidR="00423A15" w:rsidRDefault="00423A15" w:rsidP="0082352F">
      <w:pPr>
        <w:ind w:firstLine="720"/>
      </w:pPr>
    </w:p>
    <w:p w14:paraId="51CA64BB" w14:textId="5501E76A" w:rsidR="00B53960" w:rsidRDefault="0082352F" w:rsidP="0082352F">
      <w:pPr>
        <w:ind w:firstLine="720"/>
      </w:pPr>
      <w:r w:rsidRPr="006C0C94">
        <w:t>It is well-established that ACA-compliant “small group” and “individual” market plans primarily have “narrow networks.”</w:t>
      </w:r>
      <w:r w:rsidRPr="004A4470">
        <w:rPr>
          <w:rStyle w:val="FootnoteReference"/>
          <w:sz w:val="28"/>
          <w:szCs w:val="28"/>
        </w:rPr>
        <w:footnoteReference w:id="9"/>
      </w:r>
      <w:r w:rsidRPr="006C0C94">
        <w:t xml:space="preserve">  In fact, the Congressional Budget Office (CBO) has explained that “individual” market plans generally have narrow</w:t>
      </w:r>
      <w:r>
        <w:t>er</w:t>
      </w:r>
      <w:r w:rsidRPr="006C0C94">
        <w:t xml:space="preserve"> provider networks than employment-based plans.</w:t>
      </w:r>
      <w:r>
        <w:rPr>
          <w:rStyle w:val="FootnoteReference"/>
        </w:rPr>
        <w:footnoteReference w:id="10"/>
      </w:r>
      <w:r w:rsidRPr="006C0C94">
        <w:t xml:space="preserve"> </w:t>
      </w:r>
      <w:r>
        <w:t xml:space="preserve"> </w:t>
      </w:r>
    </w:p>
    <w:p w14:paraId="48F9CEB0" w14:textId="77777777" w:rsidR="00B53960" w:rsidRDefault="00B53960" w:rsidP="0082352F">
      <w:pPr>
        <w:ind w:firstLine="720"/>
      </w:pPr>
    </w:p>
    <w:p w14:paraId="30A35C8A" w14:textId="5837A0F2" w:rsidR="0082352F" w:rsidRPr="00AC6CE0" w:rsidRDefault="0082352F" w:rsidP="0082352F">
      <w:pPr>
        <w:ind w:firstLine="720"/>
      </w:pPr>
      <w:r w:rsidRPr="00AC6CE0">
        <w:t xml:space="preserve">For those </w:t>
      </w:r>
      <w:r w:rsidR="00B05550">
        <w:t xml:space="preserve">employees currently covered by an </w:t>
      </w:r>
      <w:r w:rsidR="0076338A">
        <w:t xml:space="preserve">AHP </w:t>
      </w:r>
      <w:r w:rsidR="00883C07">
        <w:t>(</w:t>
      </w:r>
      <w:r w:rsidR="00B53960">
        <w:t>which as stated, is an</w:t>
      </w:r>
      <w:r w:rsidR="00883C07">
        <w:t xml:space="preserve"> employment-based large group plan) </w:t>
      </w:r>
      <w:r w:rsidR="0076338A">
        <w:t xml:space="preserve">– and for those employees and self-employed individuals covered by an AHP during the 2019 plan year </w:t>
      </w:r>
      <w:r w:rsidR="00883C07">
        <w:t>–</w:t>
      </w:r>
      <w:r w:rsidR="00051CAD">
        <w:t xml:space="preserve"> </w:t>
      </w:r>
      <w:r>
        <w:t xml:space="preserve">their plan’s broader provider network </w:t>
      </w:r>
      <w:r w:rsidR="003B69CA">
        <w:t>means/</w:t>
      </w:r>
      <w:r w:rsidRPr="00AC6CE0">
        <w:t xml:space="preserve">meant that </w:t>
      </w:r>
      <w:r w:rsidR="003B69CA">
        <w:t>AHP participants are/</w:t>
      </w:r>
      <w:r w:rsidRPr="00AC6CE0">
        <w:t xml:space="preserve">were no longer required to drive hours to and from a physician’s office or a hospital that </w:t>
      </w:r>
      <w:r w:rsidR="003B458E">
        <w:t>are/</w:t>
      </w:r>
      <w:r w:rsidRPr="00AC6CE0">
        <w:t>were in-network to receive medical treatment or to even get a routine medical check-up.</w:t>
      </w:r>
    </w:p>
    <w:p w14:paraId="0621D4A8" w14:textId="77777777" w:rsidR="0082352F" w:rsidRPr="00F518BA" w:rsidRDefault="0082352F" w:rsidP="0082352F"/>
    <w:p w14:paraId="5AE7DF30" w14:textId="0E05F9F1" w:rsidR="0082352F" w:rsidRPr="00F518BA" w:rsidRDefault="0082352F" w:rsidP="0082352F">
      <w:pPr>
        <w:pStyle w:val="ListParagraph"/>
        <w:numPr>
          <w:ilvl w:val="0"/>
          <w:numId w:val="11"/>
        </w:numPr>
        <w:spacing w:after="0"/>
        <w:rPr>
          <w:rFonts w:ascii="Times New Roman" w:hAnsi="Times New Roman" w:cs="Times New Roman"/>
          <w:bCs/>
          <w:sz w:val="24"/>
          <w:szCs w:val="24"/>
          <w:u w:val="single"/>
        </w:rPr>
      </w:pPr>
      <w:r w:rsidRPr="00F518BA">
        <w:rPr>
          <w:rFonts w:ascii="Times New Roman" w:hAnsi="Times New Roman" w:cs="Times New Roman"/>
          <w:bCs/>
          <w:sz w:val="24"/>
          <w:szCs w:val="24"/>
          <w:u w:val="single"/>
        </w:rPr>
        <w:lastRenderedPageBreak/>
        <w:t>AHPs Offer Lower Deductible Plans for the Same Level of Coverage Offered Through “Individual” and “Small Group” Market Plans</w:t>
      </w:r>
    </w:p>
    <w:p w14:paraId="0C6A0A16" w14:textId="77777777" w:rsidR="0082352F" w:rsidRPr="00F518BA" w:rsidRDefault="0082352F" w:rsidP="0082352F"/>
    <w:p w14:paraId="5B1192B5" w14:textId="4D49F7EC" w:rsidR="0082352F" w:rsidRDefault="00016E29" w:rsidP="0082352F">
      <w:pPr>
        <w:ind w:firstLine="720"/>
      </w:pPr>
      <w:r>
        <w:t>For the 2022 plan year, t</w:t>
      </w:r>
      <w:r w:rsidR="0082352F" w:rsidRPr="00F518BA">
        <w:t xml:space="preserve">he average deductible for a single </w:t>
      </w:r>
      <w:r w:rsidR="008A01C9">
        <w:t xml:space="preserve">“silver metal” </w:t>
      </w:r>
      <w:r w:rsidR="0082352F" w:rsidRPr="00F518BA">
        <w:t xml:space="preserve">plan in the “individual” </w:t>
      </w:r>
      <w:r>
        <w:t>market</w:t>
      </w:r>
      <w:r w:rsidR="008A01C9">
        <w:t xml:space="preserve"> was $4,890, while the average deductible </w:t>
      </w:r>
      <w:r w:rsidR="00FA05E1">
        <w:t>for a single</w:t>
      </w:r>
      <w:r w:rsidR="0082352F" w:rsidRPr="00F518BA">
        <w:t xml:space="preserve"> “small group” market</w:t>
      </w:r>
      <w:r w:rsidR="00FA05E1">
        <w:t xml:space="preserve"> plan was $2,543</w:t>
      </w:r>
      <w:r w:rsidR="0082352F" w:rsidRPr="00F518BA">
        <w:t>.</w:t>
      </w:r>
      <w:r w:rsidR="00FA05E1">
        <w:rPr>
          <w:rStyle w:val="FootnoteReference"/>
        </w:rPr>
        <w:footnoteReference w:id="11"/>
      </w:r>
      <w:r w:rsidR="0082352F" w:rsidRPr="006C0C94">
        <w:t xml:space="preserve">  However, </w:t>
      </w:r>
      <w:r w:rsidR="006B055E">
        <w:t xml:space="preserve">employees and </w:t>
      </w:r>
      <w:r w:rsidR="00C57961">
        <w:t xml:space="preserve">self-employed </w:t>
      </w:r>
      <w:r w:rsidR="0082352F" w:rsidRPr="006C0C94">
        <w:t xml:space="preserve">individuals who were covered by an AHP during the 2019 plan year enjoyed </w:t>
      </w:r>
      <w:r w:rsidR="0082352F" w:rsidRPr="006C0C94">
        <w:rPr>
          <w:i/>
          <w:iCs/>
        </w:rPr>
        <w:t xml:space="preserve">lower </w:t>
      </w:r>
      <w:r w:rsidR="0082352F" w:rsidRPr="006C0C94">
        <w:t>deductibles for the same level of coverage as they would receive under an ACA-compliant “small group” or “individual” market plan.</w:t>
      </w:r>
      <w:r w:rsidR="009A39C7">
        <w:t xml:space="preserve">  Same for employees </w:t>
      </w:r>
      <w:r w:rsidR="00E72DC8" w:rsidRPr="00E72DC8">
        <w:rPr>
          <w:b/>
          <w:bCs/>
        </w:rPr>
        <w:t>CURRENTLY</w:t>
      </w:r>
      <w:r w:rsidR="009A39C7">
        <w:t xml:space="preserve"> covered by an </w:t>
      </w:r>
      <w:proofErr w:type="gramStart"/>
      <w:r w:rsidR="009A39C7">
        <w:t>industry-based</w:t>
      </w:r>
      <w:proofErr w:type="gramEnd"/>
      <w:r w:rsidR="009A39C7">
        <w:t xml:space="preserve"> AHP.</w:t>
      </w:r>
      <w:r w:rsidR="0082352F">
        <w:rPr>
          <w:rStyle w:val="FootnoteReference"/>
        </w:rPr>
        <w:footnoteReference w:id="12"/>
      </w:r>
    </w:p>
    <w:p w14:paraId="4C3603BE" w14:textId="77777777" w:rsidR="0082352F" w:rsidRPr="00F518BA" w:rsidRDefault="0082352F" w:rsidP="0082352F"/>
    <w:p w14:paraId="4F3A6FA2" w14:textId="77777777" w:rsidR="0082352F" w:rsidRPr="00F518BA" w:rsidRDefault="0082352F" w:rsidP="0082352F">
      <w:pPr>
        <w:pStyle w:val="ListParagraph"/>
        <w:numPr>
          <w:ilvl w:val="0"/>
          <w:numId w:val="11"/>
        </w:numPr>
        <w:rPr>
          <w:rFonts w:ascii="Times New Roman" w:hAnsi="Times New Roman" w:cs="Times New Roman"/>
          <w:bCs/>
          <w:sz w:val="24"/>
          <w:szCs w:val="24"/>
          <w:u w:val="single"/>
        </w:rPr>
      </w:pPr>
      <w:r w:rsidRPr="00F518BA">
        <w:rPr>
          <w:rFonts w:ascii="Times New Roman" w:hAnsi="Times New Roman" w:cs="Times New Roman"/>
          <w:bCs/>
          <w:sz w:val="24"/>
          <w:szCs w:val="24"/>
          <w:u w:val="single"/>
        </w:rPr>
        <w:t>These AHPs Developed “Actuarial Fair Premiums”</w:t>
      </w:r>
    </w:p>
    <w:p w14:paraId="0FD96B01" w14:textId="77777777" w:rsidR="0082352F" w:rsidRPr="00AC6CE0" w:rsidRDefault="0082352F" w:rsidP="0082352F">
      <w:pPr>
        <w:pStyle w:val="ListParagraph"/>
        <w:spacing w:after="0" w:line="240" w:lineRule="auto"/>
        <w:ind w:left="360"/>
        <w:rPr>
          <w:rFonts w:ascii="Times New Roman" w:hAnsi="Times New Roman" w:cs="Times New Roman"/>
          <w:sz w:val="24"/>
          <w:szCs w:val="24"/>
        </w:rPr>
      </w:pPr>
    </w:p>
    <w:p w14:paraId="32CDE592" w14:textId="5BAD4934" w:rsidR="00423A15" w:rsidRPr="00D916F2" w:rsidRDefault="00B23ECA" w:rsidP="00D916F2">
      <w:pPr>
        <w:ind w:firstLine="720"/>
      </w:pPr>
      <w:r>
        <w:t>Importantly,</w:t>
      </w:r>
      <w:r w:rsidR="0082352F" w:rsidRPr="00823F07">
        <w:t xml:space="preserve"> </w:t>
      </w:r>
      <w:r w:rsidR="00BD013B">
        <w:t xml:space="preserve">existing </w:t>
      </w:r>
      <w:r w:rsidR="0082352F" w:rsidRPr="00823F07">
        <w:t>AHPs</w:t>
      </w:r>
      <w:r w:rsidR="00BD013B">
        <w:t xml:space="preserve"> – and those AHPs </w:t>
      </w:r>
      <w:r w:rsidR="00D54D88">
        <w:t xml:space="preserve">that </w:t>
      </w:r>
      <w:r w:rsidR="00BD013B">
        <w:t>provid</w:t>
      </w:r>
      <w:r w:rsidR="00D54D88">
        <w:t>ed</w:t>
      </w:r>
      <w:r w:rsidR="00BD013B">
        <w:t xml:space="preserve"> coverage to </w:t>
      </w:r>
      <w:r w:rsidR="00D54D88">
        <w:t xml:space="preserve">employees and </w:t>
      </w:r>
      <w:r w:rsidR="00BD013B">
        <w:t xml:space="preserve">self-employed individuals during the 2019 plan year </w:t>
      </w:r>
      <w:r w:rsidR="00883054">
        <w:t>– are/</w:t>
      </w:r>
      <w:r w:rsidR="0082352F" w:rsidRPr="00823F07">
        <w:t xml:space="preserve">were priced at an “actuarially fair premium” for both young and old AHP participants.  This </w:t>
      </w:r>
      <w:r w:rsidR="00D54D88">
        <w:t>is/</w:t>
      </w:r>
      <w:r w:rsidR="0082352F" w:rsidRPr="00823F07">
        <w:t xml:space="preserve">was achieved through developing rate-bands based on age that did </w:t>
      </w:r>
      <w:r w:rsidR="0082352F" w:rsidRPr="00823F07">
        <w:rPr>
          <w:i/>
          <w:iCs/>
        </w:rPr>
        <w:t>not</w:t>
      </w:r>
      <w:r w:rsidR="0082352F" w:rsidRPr="00823F07">
        <w:t xml:space="preserve"> exceed a 5 to 1 ratio.  Alternatively, composite rates </w:t>
      </w:r>
      <w:r w:rsidR="00856BEF">
        <w:t>are/</w:t>
      </w:r>
      <w:r w:rsidR="0082352F" w:rsidRPr="00823F07">
        <w:t xml:space="preserve">were developed </w:t>
      </w:r>
      <w:r w:rsidR="0082352F">
        <w:t>by the average age of the employer member (not to exceed a 5 to 1 ratio</w:t>
      </w:r>
      <w:r w:rsidR="00933835">
        <w:t xml:space="preserve"> among employer members</w:t>
      </w:r>
      <w:r w:rsidR="0082352F">
        <w:t xml:space="preserve">), </w:t>
      </w:r>
      <w:r w:rsidR="0082352F" w:rsidRPr="00823F07">
        <w:t xml:space="preserve">and </w:t>
      </w:r>
      <w:r w:rsidR="0082352F">
        <w:t xml:space="preserve">then </w:t>
      </w:r>
      <w:r w:rsidR="0082352F" w:rsidRPr="00823F07">
        <w:t>every</w:t>
      </w:r>
      <w:r w:rsidR="00933835">
        <w:t xml:space="preserve"> employee of a particular employer member participating in the AHP </w:t>
      </w:r>
      <w:r w:rsidR="00883054">
        <w:t>is/</w:t>
      </w:r>
      <w:r w:rsidR="0082352F" w:rsidRPr="00823F07">
        <w:t>was charged the same premium regardless of age.</w:t>
      </w:r>
    </w:p>
    <w:p w14:paraId="5F52C636" w14:textId="77777777" w:rsidR="00423A15" w:rsidRDefault="00423A15" w:rsidP="0082352F">
      <w:pPr>
        <w:pStyle w:val="ListParagraph"/>
        <w:spacing w:after="0" w:line="240" w:lineRule="auto"/>
        <w:ind w:left="360"/>
        <w:rPr>
          <w:rFonts w:ascii="Times New Roman" w:hAnsi="Times New Roman" w:cs="Times New Roman"/>
          <w:sz w:val="24"/>
          <w:szCs w:val="24"/>
        </w:rPr>
      </w:pPr>
    </w:p>
    <w:p w14:paraId="301D6E8A" w14:textId="6E28F277" w:rsidR="0082352F" w:rsidRDefault="0082352F" w:rsidP="0082352F">
      <w:pPr>
        <w:ind w:firstLine="720"/>
      </w:pPr>
      <w:r w:rsidRPr="00823F07">
        <w:t>Importantly, a health plan sponsored by a labor union (which</w:t>
      </w:r>
      <w:r>
        <w:t xml:space="preserve"> is </w:t>
      </w:r>
      <w:proofErr w:type="gramStart"/>
      <w:r w:rsidRPr="00823F07">
        <w:t>similar to</w:t>
      </w:r>
      <w:proofErr w:type="gramEnd"/>
      <w:r w:rsidRPr="00823F07">
        <w:t xml:space="preserve"> an AHP</w:t>
      </w:r>
      <w:r>
        <w:t xml:space="preserve"> because the union </w:t>
      </w:r>
      <w:r w:rsidRPr="00823F07">
        <w:t xml:space="preserve">aggregates small employers </w:t>
      </w:r>
      <w:r>
        <w:t xml:space="preserve">together </w:t>
      </w:r>
      <w:r w:rsidRPr="00823F07">
        <w:t xml:space="preserve">and offers a </w:t>
      </w:r>
      <w:r>
        <w:t>“</w:t>
      </w:r>
      <w:r w:rsidRPr="00823F07">
        <w:t>large group</w:t>
      </w:r>
      <w:r>
        <w:t>”</w:t>
      </w:r>
      <w:r w:rsidRPr="00823F07">
        <w:t xml:space="preserve"> plan to </w:t>
      </w:r>
      <w:r>
        <w:t xml:space="preserve">these </w:t>
      </w:r>
      <w:r w:rsidRPr="00823F07">
        <w:t>small employer</w:t>
      </w:r>
      <w:r>
        <w:t xml:space="preserve"> member</w:t>
      </w:r>
      <w:r w:rsidRPr="00823F07">
        <w:t xml:space="preserve">s) </w:t>
      </w:r>
      <w:r w:rsidRPr="00823F07">
        <w:rPr>
          <w:b/>
          <w:bCs/>
          <w:i/>
          <w:iCs/>
          <w:u w:val="single"/>
        </w:rPr>
        <w:t>ALSO</w:t>
      </w:r>
      <w:r w:rsidRPr="00BF78C7">
        <w:rPr>
          <w:i/>
          <w:iCs/>
        </w:rPr>
        <w:t xml:space="preserve"> </w:t>
      </w:r>
      <w:r w:rsidRPr="00823F07">
        <w:t>develops premium rates based on a 5 to 1 age band</w:t>
      </w:r>
      <w:r>
        <w:t xml:space="preserve"> or based on the average age of the employer member (not to exceed a 5 to 1 ratio</w:t>
      </w:r>
      <w:r w:rsidR="00933835">
        <w:t xml:space="preserve"> among employer members</w:t>
      </w:r>
      <w:r>
        <w:t>)</w:t>
      </w:r>
      <w:r w:rsidRPr="00823F07">
        <w:t>.  Why?  Because the union is advised to do so by their actuaries, and the law</w:t>
      </w:r>
      <w:r>
        <w:t xml:space="preserve"> currently</w:t>
      </w:r>
      <w:r w:rsidRPr="00823F07">
        <w:t xml:space="preserve"> allows unions to engage in this practice.</w:t>
      </w:r>
      <w:r>
        <w:t xml:space="preserve">   </w:t>
      </w:r>
    </w:p>
    <w:p w14:paraId="74266265" w14:textId="77777777" w:rsidR="0082352F" w:rsidRDefault="0082352F" w:rsidP="0082352F">
      <w:pPr>
        <w:ind w:firstLine="720"/>
      </w:pPr>
    </w:p>
    <w:p w14:paraId="7F99BAB8" w14:textId="5439A245" w:rsidR="0082352F" w:rsidRPr="00823F07" w:rsidRDefault="0082352F" w:rsidP="0082352F">
      <w:pPr>
        <w:ind w:firstLine="720"/>
      </w:pPr>
      <w:r>
        <w:t xml:space="preserve">The Federal Employees Health Benefit Program (FEHBP) also develops premiums based on a 5 to 1 ratio.  Why?  Because based on a study cited by the Congressional Budget Office, actuaries conclude that older individuals utilize health care 4.8 times more than younger individuals, and a 3 to 1 age </w:t>
      </w:r>
      <w:r w:rsidR="00933835">
        <w:t>ratio</w:t>
      </w:r>
      <w:r>
        <w:t xml:space="preserve"> – as opposed to a 5 to 1 age </w:t>
      </w:r>
      <w:r w:rsidR="00933835">
        <w:t>ratio</w:t>
      </w:r>
      <w:r>
        <w:t xml:space="preserve"> – “encourages older people to enroll and discourages younger people, and because the costs of the former are greater, average premiums rise.”</w:t>
      </w:r>
      <w:r>
        <w:rPr>
          <w:rStyle w:val="FootnoteReference"/>
        </w:rPr>
        <w:footnoteReference w:id="13"/>
      </w:r>
      <w:r>
        <w:t xml:space="preserve">  </w:t>
      </w:r>
    </w:p>
    <w:p w14:paraId="479D12C3" w14:textId="33EAA728" w:rsidR="0082352F" w:rsidRDefault="0082352F" w:rsidP="0082352F">
      <w:pPr>
        <w:pStyle w:val="ListParagraph"/>
        <w:spacing w:after="0" w:line="240" w:lineRule="auto"/>
        <w:ind w:left="1080"/>
        <w:rPr>
          <w:rFonts w:ascii="Times New Roman" w:hAnsi="Times New Roman" w:cs="Times New Roman"/>
          <w:sz w:val="24"/>
          <w:szCs w:val="24"/>
        </w:rPr>
      </w:pPr>
    </w:p>
    <w:p w14:paraId="6FE5AEA9" w14:textId="77777777" w:rsidR="0082352F" w:rsidRPr="00F518BA" w:rsidRDefault="0082352F" w:rsidP="0082352F">
      <w:pPr>
        <w:pStyle w:val="ListParagraph"/>
        <w:numPr>
          <w:ilvl w:val="0"/>
          <w:numId w:val="11"/>
        </w:numPr>
        <w:spacing w:after="0"/>
        <w:rPr>
          <w:rFonts w:ascii="Times New Roman" w:hAnsi="Times New Roman" w:cs="Times New Roman"/>
          <w:sz w:val="24"/>
          <w:szCs w:val="24"/>
          <w:u w:val="single"/>
        </w:rPr>
      </w:pPr>
      <w:r w:rsidRPr="00F518BA">
        <w:rPr>
          <w:rFonts w:ascii="Times New Roman" w:hAnsi="Times New Roman" w:cs="Times New Roman"/>
          <w:sz w:val="24"/>
          <w:szCs w:val="24"/>
          <w:u w:val="single"/>
        </w:rPr>
        <w:t>Data Shows that AHPs Can Offer Lower Costing Plans While Providing Coverage That Is More Comprehensive Than ACA-Compliant “Individual” and “Small Group” Plans</w:t>
      </w:r>
    </w:p>
    <w:p w14:paraId="2353ED5A" w14:textId="77777777" w:rsidR="0082352F" w:rsidRDefault="0082352F" w:rsidP="00933835"/>
    <w:p w14:paraId="639E4D66" w14:textId="176C0A0C" w:rsidR="0082352F" w:rsidRPr="0026305E" w:rsidRDefault="0082352F" w:rsidP="0082352F">
      <w:pPr>
        <w:ind w:firstLine="720"/>
      </w:pPr>
      <w:r w:rsidRPr="0026305E">
        <w:t>Data from AHPs</w:t>
      </w:r>
      <w:r>
        <w:t xml:space="preserve"> providing coverage to (1) employe</w:t>
      </w:r>
      <w:r w:rsidR="009839D8">
        <w:t>e</w:t>
      </w:r>
      <w:r>
        <w:t xml:space="preserve">s in </w:t>
      </w:r>
      <w:r w:rsidRPr="004C02F9">
        <w:rPr>
          <w:i/>
          <w:iCs/>
        </w:rPr>
        <w:t>different industries</w:t>
      </w:r>
      <w:r>
        <w:t xml:space="preserve"> and (2) </w:t>
      </w:r>
      <w:r w:rsidRPr="00F83DFF">
        <w:rPr>
          <w:i/>
          <w:iCs/>
        </w:rPr>
        <w:t>self-employed individuals with no employees</w:t>
      </w:r>
      <w:r w:rsidRPr="0026305E">
        <w:t xml:space="preserve"> </w:t>
      </w:r>
      <w:r w:rsidR="00507D1B">
        <w:t>during the 2019 plan year</w:t>
      </w:r>
      <w:r w:rsidRPr="0026305E">
        <w:t xml:space="preserve"> show that there is savings that can be achieved while also covering the ACA’s EHBs and offering broader provider networks and lower-deductible plans.</w:t>
      </w:r>
    </w:p>
    <w:p w14:paraId="4B0C2B67" w14:textId="77777777" w:rsidR="0082352F" w:rsidRPr="00AC6CE0" w:rsidRDefault="0082352F" w:rsidP="0082352F">
      <w:pPr>
        <w:pStyle w:val="ListParagraph"/>
        <w:spacing w:after="0" w:line="240" w:lineRule="auto"/>
        <w:ind w:left="360"/>
        <w:rPr>
          <w:rFonts w:ascii="Times New Roman" w:hAnsi="Times New Roman" w:cs="Times New Roman"/>
          <w:sz w:val="24"/>
          <w:szCs w:val="24"/>
        </w:rPr>
      </w:pPr>
    </w:p>
    <w:p w14:paraId="2EAE15B6" w14:textId="77777777" w:rsidR="00D916F2" w:rsidRDefault="00D916F2" w:rsidP="0082352F">
      <w:pPr>
        <w:ind w:firstLine="720"/>
      </w:pPr>
    </w:p>
    <w:p w14:paraId="2CE9F718" w14:textId="15FD3A31" w:rsidR="0082352F" w:rsidRPr="0026305E" w:rsidRDefault="0082352F" w:rsidP="0082352F">
      <w:pPr>
        <w:ind w:firstLine="720"/>
      </w:pPr>
      <w:r w:rsidRPr="0026305E">
        <w:t xml:space="preserve">For example, coverage that was offered to </w:t>
      </w:r>
      <w:r w:rsidRPr="00F63764">
        <w:rPr>
          <w:i/>
          <w:iCs/>
        </w:rPr>
        <w:t>self-employed individuals</w:t>
      </w:r>
      <w:r w:rsidR="00F63764" w:rsidRPr="00F63764">
        <w:rPr>
          <w:i/>
          <w:iCs/>
        </w:rPr>
        <w:t xml:space="preserve"> with no employees</w:t>
      </w:r>
      <w:r w:rsidRPr="0026305E">
        <w:t xml:space="preserve"> through </w:t>
      </w:r>
      <w:r>
        <w:t>an</w:t>
      </w:r>
      <w:r w:rsidRPr="0026305E">
        <w:t xml:space="preserve"> AHP that w</w:t>
      </w:r>
      <w:r>
        <w:t>as</w:t>
      </w:r>
      <w:r w:rsidRPr="0026305E">
        <w:t xml:space="preserve"> established by five different State and Local </w:t>
      </w:r>
      <w:r w:rsidRPr="0026305E">
        <w:rPr>
          <w:rFonts w:eastAsia="Times New Roman"/>
          <w:color w:val="000000"/>
          <w:lang w:bidi="th-TH"/>
        </w:rPr>
        <w:t>REALTORS</w:t>
      </w:r>
      <w:r w:rsidRPr="0026305E">
        <w:rPr>
          <w:rFonts w:eastAsia="Times New Roman"/>
          <w:color w:val="000000"/>
          <w:vertAlign w:val="superscript"/>
          <w:lang w:bidi="th-TH"/>
        </w:rPr>
        <w:t>®</w:t>
      </w:r>
      <w:r w:rsidRPr="0026305E">
        <w:rPr>
          <w:rFonts w:eastAsia="Times New Roman"/>
          <w:color w:val="000000"/>
          <w:lang w:bidi="th-TH"/>
        </w:rPr>
        <w:t xml:space="preserve"> </w:t>
      </w:r>
      <w:r w:rsidRPr="0026305E">
        <w:t xml:space="preserve">– </w:t>
      </w:r>
      <w:r w:rsidRPr="0026305E">
        <w:rPr>
          <w:rFonts w:eastAsia="Times New Roman"/>
          <w:color w:val="000000"/>
          <w:lang w:bidi="th-TH"/>
        </w:rPr>
        <w:t>t</w:t>
      </w:r>
      <w:r w:rsidRPr="0026305E">
        <w:t xml:space="preserve">he Baldwin County Association of </w:t>
      </w:r>
      <w:r w:rsidRPr="0026305E">
        <w:rPr>
          <w:color w:val="000000"/>
          <w:lang w:bidi="th-TH"/>
        </w:rPr>
        <w:t>REALTORS</w:t>
      </w:r>
      <w:r w:rsidRPr="0026305E">
        <w:rPr>
          <w:color w:val="000000"/>
          <w:vertAlign w:val="superscript"/>
          <w:lang w:bidi="th-TH"/>
        </w:rPr>
        <w:t>®</w:t>
      </w:r>
      <w:r w:rsidRPr="0026305E">
        <w:rPr>
          <w:color w:val="000000"/>
          <w:lang w:bidi="th-TH"/>
        </w:rPr>
        <w:t xml:space="preserve"> in Alabama, the Greater Las Vegas Association of REALTORS</w:t>
      </w:r>
      <w:r w:rsidRPr="0026305E">
        <w:rPr>
          <w:color w:val="000000"/>
          <w:vertAlign w:val="superscript"/>
          <w:lang w:bidi="th-TH"/>
        </w:rPr>
        <w:t>®</w:t>
      </w:r>
      <w:r w:rsidRPr="0026305E">
        <w:rPr>
          <w:color w:val="000000"/>
          <w:lang w:bidi="th-TH"/>
        </w:rPr>
        <w:t>, the Kansas City Regional Association of REALTORS</w:t>
      </w:r>
      <w:r w:rsidRPr="0026305E">
        <w:rPr>
          <w:color w:val="000000"/>
          <w:vertAlign w:val="superscript"/>
          <w:lang w:bidi="th-TH"/>
        </w:rPr>
        <w:t>®</w:t>
      </w:r>
      <w:r w:rsidRPr="0026305E">
        <w:rPr>
          <w:color w:val="000000"/>
          <w:lang w:bidi="th-TH"/>
        </w:rPr>
        <w:t>, the Nevada REALTORS</w:t>
      </w:r>
      <w:r w:rsidRPr="0026305E">
        <w:rPr>
          <w:color w:val="000000"/>
          <w:vertAlign w:val="superscript"/>
          <w:lang w:bidi="th-TH"/>
        </w:rPr>
        <w:t>®</w:t>
      </w:r>
      <w:r w:rsidRPr="0026305E">
        <w:rPr>
          <w:color w:val="000000"/>
          <w:lang w:bidi="th-TH"/>
        </w:rPr>
        <w:t>, and the Tennessee REALTORS</w:t>
      </w:r>
      <w:r w:rsidRPr="0026305E">
        <w:rPr>
          <w:color w:val="000000"/>
          <w:vertAlign w:val="superscript"/>
          <w:lang w:bidi="th-TH"/>
        </w:rPr>
        <w:t>®</w:t>
      </w:r>
      <w:r w:rsidRPr="0026305E">
        <w:t xml:space="preserve"> – produced savings relative to ACA “individual” market plans.  </w:t>
      </w:r>
    </w:p>
    <w:p w14:paraId="26B9240B" w14:textId="77777777" w:rsidR="0082352F" w:rsidRPr="00726560" w:rsidRDefault="0082352F" w:rsidP="0082352F">
      <w:pPr>
        <w:pStyle w:val="ListParagraph"/>
        <w:spacing w:after="0"/>
        <w:rPr>
          <w:rFonts w:ascii="Times New Roman" w:hAnsi="Times New Roman" w:cs="Times New Roman"/>
          <w:sz w:val="24"/>
          <w:szCs w:val="24"/>
        </w:rPr>
      </w:pPr>
    </w:p>
    <w:p w14:paraId="27A8890C" w14:textId="383F0587" w:rsidR="0082352F" w:rsidRDefault="0082352F" w:rsidP="0082352F">
      <w:pPr>
        <w:ind w:firstLine="720"/>
      </w:pPr>
      <w:r w:rsidRPr="0026305E">
        <w:t xml:space="preserve">Specifically, participants in the </w:t>
      </w:r>
      <w:r w:rsidRPr="0026305E">
        <w:rPr>
          <w:rFonts w:eastAsia="Times New Roman"/>
          <w:color w:val="000000"/>
          <w:lang w:bidi="th-TH"/>
        </w:rPr>
        <w:t>Kansas City Regional Association of REALTORS</w:t>
      </w:r>
      <w:r w:rsidRPr="0026305E">
        <w:rPr>
          <w:rFonts w:eastAsia="Times New Roman"/>
          <w:color w:val="000000"/>
          <w:vertAlign w:val="superscript"/>
          <w:lang w:bidi="th-TH"/>
        </w:rPr>
        <w:t>®</w:t>
      </w:r>
      <w:r w:rsidRPr="0026305E">
        <w:rPr>
          <w:rFonts w:eastAsia="Times New Roman"/>
          <w:color w:val="000000"/>
          <w:lang w:bidi="th-TH"/>
        </w:rPr>
        <w:t xml:space="preserve"> AHP averaged savings between 5 percent and 50 percent, while participants in the Tennessee REALTORS</w:t>
      </w:r>
      <w:r w:rsidRPr="0026305E">
        <w:rPr>
          <w:rFonts w:eastAsia="Times New Roman"/>
          <w:color w:val="000000"/>
          <w:vertAlign w:val="superscript"/>
          <w:lang w:bidi="th-TH"/>
        </w:rPr>
        <w:t>®</w:t>
      </w:r>
      <w:r w:rsidRPr="0026305E">
        <w:rPr>
          <w:rFonts w:eastAsia="Times New Roman"/>
          <w:color w:val="000000"/>
          <w:lang w:bidi="th-TH"/>
        </w:rPr>
        <w:t xml:space="preserve"> AHP experienced 25 to 50 percent savings.  The Nevada REALTORS</w:t>
      </w:r>
      <w:r w:rsidRPr="0026305E">
        <w:rPr>
          <w:rFonts w:eastAsia="Times New Roman"/>
          <w:color w:val="000000"/>
          <w:vertAlign w:val="superscript"/>
          <w:lang w:bidi="th-TH"/>
        </w:rPr>
        <w:t>®</w:t>
      </w:r>
      <w:r w:rsidRPr="0026305E">
        <w:rPr>
          <w:rFonts w:eastAsia="Times New Roman"/>
          <w:color w:val="000000"/>
          <w:lang w:bidi="th-TH"/>
        </w:rPr>
        <w:t xml:space="preserve"> AHP participants saw savings from 2 percent up to 32.5 percent, while participants in </w:t>
      </w:r>
      <w:r w:rsidRPr="0026305E">
        <w:t xml:space="preserve">the Baldwin </w:t>
      </w:r>
      <w:r w:rsidRPr="0026305E">
        <w:rPr>
          <w:rFonts w:eastAsia="Times New Roman"/>
          <w:color w:val="000000"/>
          <w:lang w:bidi="th-TH"/>
        </w:rPr>
        <w:t>REALTORS</w:t>
      </w:r>
      <w:r w:rsidRPr="0026305E">
        <w:rPr>
          <w:rFonts w:eastAsia="Times New Roman"/>
          <w:color w:val="000000"/>
          <w:vertAlign w:val="superscript"/>
          <w:lang w:bidi="th-TH"/>
        </w:rPr>
        <w:t>®</w:t>
      </w:r>
      <w:r w:rsidRPr="0026305E">
        <w:rPr>
          <w:rFonts w:eastAsia="Times New Roman"/>
          <w:color w:val="000000"/>
          <w:lang w:bidi="th-TH"/>
        </w:rPr>
        <w:t xml:space="preserve"> AHP realized savings ranging from $150 to $15,000 per year.  Unfortunately, these AHPs have been discontinued due to the legal uncertainty surrounding </w:t>
      </w:r>
      <w:r w:rsidR="00506354">
        <w:rPr>
          <w:rFonts w:eastAsia="Times New Roman"/>
          <w:color w:val="000000"/>
          <w:lang w:bidi="th-TH"/>
        </w:rPr>
        <w:t>AHPs</w:t>
      </w:r>
      <w:r w:rsidRPr="0026305E">
        <w:rPr>
          <w:rFonts w:eastAsia="Times New Roman"/>
          <w:color w:val="000000"/>
          <w:lang w:bidi="th-TH"/>
        </w:rPr>
        <w:t>.</w:t>
      </w:r>
      <w:r w:rsidR="00EA2D31">
        <w:rPr>
          <w:rStyle w:val="FootnoteReference"/>
          <w:rFonts w:eastAsia="Times New Roman"/>
          <w:color w:val="000000"/>
          <w:lang w:bidi="th-TH"/>
        </w:rPr>
        <w:footnoteReference w:id="14"/>
      </w:r>
    </w:p>
    <w:p w14:paraId="079E5D0A" w14:textId="77777777" w:rsidR="0082352F" w:rsidRDefault="0082352F" w:rsidP="0082352F">
      <w:pPr>
        <w:ind w:firstLine="720"/>
      </w:pPr>
    </w:p>
    <w:p w14:paraId="566C3195" w14:textId="2275A30F" w:rsidR="0082352F" w:rsidRPr="00D916F2" w:rsidRDefault="0082352F" w:rsidP="00D916F2">
      <w:pPr>
        <w:ind w:firstLine="720"/>
      </w:pPr>
      <w:r w:rsidRPr="0026305E">
        <w:rPr>
          <w:rFonts w:eastAsia="Times New Roman"/>
          <w:color w:val="000000"/>
          <w:lang w:bidi="th-TH"/>
        </w:rPr>
        <w:t>Similarly, an AHP offered by the Nebraska Farm Bureau to self-employed farmers produced savings of up to</w:t>
      </w:r>
      <w:r w:rsidRPr="0026305E">
        <w:t xml:space="preserve"> 25 percent relative to “individual” market rates in Nebraska.  This AHP has also been discontinued.</w:t>
      </w:r>
    </w:p>
    <w:p w14:paraId="3C99F271" w14:textId="77777777" w:rsidR="00423A15" w:rsidRPr="00AC6CE0" w:rsidRDefault="00423A15" w:rsidP="0082352F">
      <w:pPr>
        <w:pStyle w:val="ListParagraph"/>
        <w:spacing w:after="0" w:line="240" w:lineRule="auto"/>
        <w:rPr>
          <w:rFonts w:ascii="Times New Roman" w:hAnsi="Times New Roman" w:cs="Times New Roman"/>
          <w:sz w:val="24"/>
          <w:szCs w:val="24"/>
        </w:rPr>
      </w:pPr>
    </w:p>
    <w:p w14:paraId="0FB6F547" w14:textId="77777777" w:rsidR="0082352F" w:rsidRPr="0026305E" w:rsidRDefault="0082352F" w:rsidP="0082352F">
      <w:pPr>
        <w:ind w:firstLine="720"/>
      </w:pPr>
      <w:r w:rsidRPr="0026305E">
        <w:t>Another AHP jointly sponsored by the Small Business Association of Michigan and the Michigan Business and Professional Association – called Transcend AHP – covered both small employers and self-employed individuals.  Although this AHP has been discontinued as of December 31, 2019, below are some statistics showing savings during the 2019 plan year:</w:t>
      </w:r>
    </w:p>
    <w:p w14:paraId="78EC5797" w14:textId="77777777" w:rsidR="0082352F" w:rsidRPr="0026305E" w:rsidRDefault="0082352F" w:rsidP="0082352F">
      <w:pPr>
        <w:pStyle w:val="ListParagraph"/>
        <w:spacing w:after="0" w:line="240" w:lineRule="auto"/>
        <w:rPr>
          <w:rFonts w:ascii="Times New Roman" w:hAnsi="Times New Roman" w:cs="Times New Roman"/>
          <w:sz w:val="24"/>
          <w:szCs w:val="24"/>
        </w:rPr>
      </w:pPr>
    </w:p>
    <w:p w14:paraId="1DE941E8" w14:textId="77777777" w:rsidR="0082352F" w:rsidRPr="0026305E" w:rsidRDefault="0082352F" w:rsidP="0082352F">
      <w:pPr>
        <w:pStyle w:val="ListParagraph"/>
        <w:numPr>
          <w:ilvl w:val="0"/>
          <w:numId w:val="10"/>
        </w:numPr>
        <w:spacing w:after="0" w:line="240" w:lineRule="auto"/>
        <w:rPr>
          <w:rFonts w:ascii="Times New Roman" w:hAnsi="Times New Roman" w:cs="Times New Roman"/>
          <w:sz w:val="24"/>
          <w:szCs w:val="24"/>
        </w:rPr>
      </w:pPr>
      <w:r w:rsidRPr="0026305E">
        <w:rPr>
          <w:rFonts w:ascii="Times New Roman" w:hAnsi="Times New Roman" w:cs="Times New Roman"/>
          <w:sz w:val="24"/>
          <w:szCs w:val="24"/>
        </w:rPr>
        <w:t>22 employee investment manager – 35% savings - $100,000/year and composite rates.</w:t>
      </w:r>
    </w:p>
    <w:p w14:paraId="1892131C" w14:textId="77777777" w:rsidR="0082352F" w:rsidRPr="0026305E" w:rsidRDefault="0082352F" w:rsidP="0082352F">
      <w:pPr>
        <w:pStyle w:val="ListParagraph"/>
        <w:numPr>
          <w:ilvl w:val="0"/>
          <w:numId w:val="10"/>
        </w:numPr>
        <w:spacing w:after="0" w:line="240" w:lineRule="auto"/>
        <w:rPr>
          <w:rFonts w:ascii="Times New Roman" w:hAnsi="Times New Roman" w:cs="Times New Roman"/>
          <w:sz w:val="24"/>
          <w:szCs w:val="24"/>
        </w:rPr>
      </w:pPr>
      <w:r w:rsidRPr="0026305E">
        <w:rPr>
          <w:rFonts w:ascii="Times New Roman" w:hAnsi="Times New Roman" w:cs="Times New Roman"/>
          <w:sz w:val="24"/>
          <w:szCs w:val="24"/>
        </w:rPr>
        <w:t>15 employee architecture firm – $3,700 savings and composite rates.</w:t>
      </w:r>
    </w:p>
    <w:p w14:paraId="36F3EAFF" w14:textId="77777777" w:rsidR="0082352F" w:rsidRPr="0026305E" w:rsidRDefault="0082352F" w:rsidP="0082352F">
      <w:pPr>
        <w:pStyle w:val="ListParagraph"/>
        <w:numPr>
          <w:ilvl w:val="0"/>
          <w:numId w:val="10"/>
        </w:numPr>
        <w:spacing w:after="0" w:line="240" w:lineRule="auto"/>
        <w:rPr>
          <w:rFonts w:ascii="Times New Roman" w:hAnsi="Times New Roman" w:cs="Times New Roman"/>
          <w:sz w:val="24"/>
          <w:szCs w:val="24"/>
        </w:rPr>
      </w:pPr>
      <w:r w:rsidRPr="0026305E">
        <w:rPr>
          <w:rFonts w:ascii="Times New Roman" w:hAnsi="Times New Roman" w:cs="Times New Roman"/>
          <w:sz w:val="24"/>
          <w:szCs w:val="24"/>
        </w:rPr>
        <w:t>27 employee managed service provider – 27% savings - $53,000/year.</w:t>
      </w:r>
    </w:p>
    <w:p w14:paraId="468AF999" w14:textId="77777777" w:rsidR="0082352F" w:rsidRPr="0026305E" w:rsidRDefault="0082352F" w:rsidP="0082352F">
      <w:pPr>
        <w:pStyle w:val="ListParagraph"/>
        <w:numPr>
          <w:ilvl w:val="0"/>
          <w:numId w:val="10"/>
        </w:numPr>
        <w:spacing w:after="0" w:line="240" w:lineRule="auto"/>
        <w:rPr>
          <w:rFonts w:ascii="Times New Roman" w:hAnsi="Times New Roman" w:cs="Times New Roman"/>
          <w:sz w:val="24"/>
          <w:szCs w:val="24"/>
        </w:rPr>
      </w:pPr>
      <w:r w:rsidRPr="0026305E">
        <w:rPr>
          <w:rFonts w:ascii="Times New Roman" w:hAnsi="Times New Roman" w:cs="Times New Roman"/>
          <w:sz w:val="24"/>
          <w:szCs w:val="24"/>
        </w:rPr>
        <w:t>3 employee law firm – 5% savings from comparable BCBSM “small group” plan.</w:t>
      </w:r>
    </w:p>
    <w:p w14:paraId="5C964EED" w14:textId="77777777" w:rsidR="0082352F" w:rsidRPr="0026305E" w:rsidRDefault="0082352F" w:rsidP="0082352F">
      <w:pPr>
        <w:pStyle w:val="ListParagraph"/>
        <w:numPr>
          <w:ilvl w:val="0"/>
          <w:numId w:val="10"/>
        </w:numPr>
        <w:spacing w:after="0" w:line="240" w:lineRule="auto"/>
        <w:rPr>
          <w:rFonts w:ascii="Times New Roman" w:hAnsi="Times New Roman" w:cs="Times New Roman"/>
          <w:sz w:val="24"/>
          <w:szCs w:val="24"/>
        </w:rPr>
      </w:pPr>
      <w:r w:rsidRPr="0026305E">
        <w:rPr>
          <w:rFonts w:ascii="Times New Roman" w:hAnsi="Times New Roman" w:cs="Times New Roman"/>
          <w:sz w:val="24"/>
          <w:szCs w:val="24"/>
        </w:rPr>
        <w:t>Sole proprietor, health insurance agent – 17% in savings - $2,400/year in savings vs. an ACA Exchange plan.</w:t>
      </w:r>
    </w:p>
    <w:p w14:paraId="0D5ECCF7" w14:textId="77777777" w:rsidR="0082352F" w:rsidRPr="0026305E" w:rsidRDefault="0082352F" w:rsidP="0082352F">
      <w:pPr>
        <w:pStyle w:val="ListParagraph"/>
        <w:numPr>
          <w:ilvl w:val="0"/>
          <w:numId w:val="10"/>
        </w:numPr>
        <w:spacing w:after="0" w:line="240" w:lineRule="auto"/>
        <w:rPr>
          <w:rFonts w:ascii="Times New Roman" w:hAnsi="Times New Roman" w:cs="Times New Roman"/>
          <w:sz w:val="24"/>
          <w:szCs w:val="24"/>
        </w:rPr>
      </w:pPr>
      <w:r w:rsidRPr="0026305E">
        <w:rPr>
          <w:rFonts w:ascii="Times New Roman" w:hAnsi="Times New Roman" w:cs="Times New Roman"/>
          <w:sz w:val="24"/>
          <w:szCs w:val="24"/>
        </w:rPr>
        <w:t>16 employee light manufacturer – 11.3% savings - $16,000 a year and lower deductible.</w:t>
      </w:r>
    </w:p>
    <w:p w14:paraId="08E9E4AB" w14:textId="77777777" w:rsidR="0082352F" w:rsidRPr="0026305E" w:rsidRDefault="0082352F" w:rsidP="0082352F">
      <w:pPr>
        <w:pStyle w:val="ListParagraph"/>
        <w:numPr>
          <w:ilvl w:val="0"/>
          <w:numId w:val="10"/>
        </w:numPr>
        <w:spacing w:after="0" w:line="240" w:lineRule="auto"/>
        <w:rPr>
          <w:rFonts w:ascii="Times New Roman" w:hAnsi="Times New Roman" w:cs="Times New Roman"/>
          <w:sz w:val="24"/>
          <w:szCs w:val="24"/>
        </w:rPr>
      </w:pPr>
      <w:r w:rsidRPr="0026305E">
        <w:rPr>
          <w:rFonts w:ascii="Times New Roman" w:hAnsi="Times New Roman" w:cs="Times New Roman"/>
          <w:sz w:val="24"/>
          <w:szCs w:val="24"/>
        </w:rPr>
        <w:t>7 employee refrigeration company – $2,400/year savings and composite rates.</w:t>
      </w:r>
    </w:p>
    <w:p w14:paraId="0FF62BCC" w14:textId="77777777" w:rsidR="0082352F" w:rsidRPr="0026305E" w:rsidRDefault="0082352F" w:rsidP="0082352F">
      <w:pPr>
        <w:pStyle w:val="ListParagraph"/>
        <w:numPr>
          <w:ilvl w:val="0"/>
          <w:numId w:val="10"/>
        </w:numPr>
        <w:spacing w:after="0" w:line="240" w:lineRule="auto"/>
        <w:rPr>
          <w:rFonts w:ascii="Times New Roman" w:hAnsi="Times New Roman" w:cs="Times New Roman"/>
          <w:sz w:val="24"/>
          <w:szCs w:val="24"/>
        </w:rPr>
      </w:pPr>
      <w:r w:rsidRPr="0026305E">
        <w:rPr>
          <w:rFonts w:ascii="Times New Roman" w:hAnsi="Times New Roman" w:cs="Times New Roman"/>
          <w:sz w:val="24"/>
          <w:szCs w:val="24"/>
        </w:rPr>
        <w:t>15 employee manufacturer – 27% savings - $59,500/year savings.</w:t>
      </w:r>
    </w:p>
    <w:p w14:paraId="71FAE302" w14:textId="77777777" w:rsidR="0082352F" w:rsidRPr="0026305E" w:rsidRDefault="0082352F" w:rsidP="0082352F">
      <w:pPr>
        <w:pStyle w:val="ListParagraph"/>
        <w:numPr>
          <w:ilvl w:val="0"/>
          <w:numId w:val="10"/>
        </w:numPr>
        <w:spacing w:after="0" w:line="240" w:lineRule="auto"/>
        <w:rPr>
          <w:rFonts w:ascii="Times New Roman" w:hAnsi="Times New Roman" w:cs="Times New Roman"/>
          <w:sz w:val="24"/>
          <w:szCs w:val="24"/>
        </w:rPr>
      </w:pPr>
      <w:r w:rsidRPr="0026305E">
        <w:rPr>
          <w:rFonts w:ascii="Times New Roman" w:hAnsi="Times New Roman" w:cs="Times New Roman"/>
          <w:sz w:val="24"/>
          <w:szCs w:val="24"/>
        </w:rPr>
        <w:t>Sole proprietor, investment manager – 10% savings and a more robust plan design vs. an ACA Exchange plan.</w:t>
      </w:r>
    </w:p>
    <w:p w14:paraId="40E3C2E1" w14:textId="77777777" w:rsidR="0082352F" w:rsidRPr="0026305E" w:rsidRDefault="0082352F" w:rsidP="0082352F">
      <w:pPr>
        <w:pStyle w:val="ListParagraph"/>
        <w:numPr>
          <w:ilvl w:val="0"/>
          <w:numId w:val="10"/>
        </w:numPr>
        <w:spacing w:after="0" w:line="240" w:lineRule="auto"/>
        <w:rPr>
          <w:rFonts w:ascii="Times New Roman" w:hAnsi="Times New Roman" w:cs="Times New Roman"/>
          <w:sz w:val="24"/>
          <w:szCs w:val="24"/>
        </w:rPr>
      </w:pPr>
      <w:r w:rsidRPr="0026305E">
        <w:rPr>
          <w:rFonts w:ascii="Times New Roman" w:hAnsi="Times New Roman" w:cs="Times New Roman"/>
          <w:sz w:val="24"/>
          <w:szCs w:val="24"/>
        </w:rPr>
        <w:t xml:space="preserve">16 employee small municipality – 10% savings - $18,400/year. </w:t>
      </w:r>
    </w:p>
    <w:p w14:paraId="7CB81504" w14:textId="77777777" w:rsidR="0082352F" w:rsidRPr="0026305E" w:rsidRDefault="0082352F" w:rsidP="0082352F">
      <w:pPr>
        <w:pStyle w:val="ListParagraph"/>
        <w:numPr>
          <w:ilvl w:val="0"/>
          <w:numId w:val="10"/>
        </w:numPr>
        <w:spacing w:after="0" w:line="240" w:lineRule="auto"/>
        <w:rPr>
          <w:rFonts w:ascii="Times New Roman" w:hAnsi="Times New Roman" w:cs="Times New Roman"/>
          <w:sz w:val="24"/>
          <w:szCs w:val="24"/>
        </w:rPr>
      </w:pPr>
      <w:r w:rsidRPr="0026305E">
        <w:rPr>
          <w:rFonts w:ascii="Times New Roman" w:hAnsi="Times New Roman" w:cs="Times New Roman"/>
          <w:sz w:val="24"/>
          <w:szCs w:val="24"/>
        </w:rPr>
        <w:t>24 employee construction company – 8.66% saving and cut deductible in half to $1,000.</w:t>
      </w:r>
    </w:p>
    <w:p w14:paraId="3D0B2E25" w14:textId="77777777" w:rsidR="0082352F" w:rsidRPr="0026305E" w:rsidRDefault="0082352F" w:rsidP="0082352F">
      <w:pPr>
        <w:pStyle w:val="ListParagraph"/>
        <w:numPr>
          <w:ilvl w:val="0"/>
          <w:numId w:val="10"/>
        </w:numPr>
        <w:spacing w:after="0" w:line="240" w:lineRule="auto"/>
        <w:rPr>
          <w:rFonts w:ascii="Times New Roman" w:hAnsi="Times New Roman" w:cs="Times New Roman"/>
          <w:sz w:val="24"/>
          <w:szCs w:val="24"/>
        </w:rPr>
      </w:pPr>
      <w:r w:rsidRPr="0026305E">
        <w:rPr>
          <w:rFonts w:ascii="Times New Roman" w:hAnsi="Times New Roman" w:cs="Times New Roman"/>
          <w:sz w:val="24"/>
          <w:szCs w:val="24"/>
        </w:rPr>
        <w:t>9 employee credit union – 18.5% savings - $15,600/year in savings and a lower deductible.</w:t>
      </w:r>
    </w:p>
    <w:p w14:paraId="6F452AAF" w14:textId="77777777" w:rsidR="0082352F" w:rsidRDefault="0082352F" w:rsidP="0082352F"/>
    <w:p w14:paraId="41582DAA" w14:textId="77777777" w:rsidR="00D916F2" w:rsidRDefault="00D916F2" w:rsidP="0082352F"/>
    <w:p w14:paraId="212CCE65" w14:textId="77777777" w:rsidR="00D916F2" w:rsidRDefault="00D916F2" w:rsidP="0082352F"/>
    <w:p w14:paraId="5EE84F2B" w14:textId="29F7C651" w:rsidR="0082352F" w:rsidRPr="00F518BA" w:rsidRDefault="00380D35" w:rsidP="00380D35">
      <w:pPr>
        <w:ind w:left="720" w:hanging="720"/>
        <w:rPr>
          <w:b/>
          <w:i/>
          <w:iCs/>
        </w:rPr>
      </w:pPr>
      <w:r w:rsidRPr="00380D35">
        <w:rPr>
          <w:b/>
        </w:rPr>
        <w:lastRenderedPageBreak/>
        <w:t>VI.</w:t>
      </w:r>
      <w:r w:rsidRPr="00380D35">
        <w:rPr>
          <w:b/>
        </w:rPr>
        <w:tab/>
      </w:r>
      <w:r w:rsidR="0082352F" w:rsidRPr="00380D35">
        <w:rPr>
          <w:b/>
          <w:i/>
          <w:iCs/>
        </w:rPr>
        <w:t xml:space="preserve">AHPs Are Not the Same </w:t>
      </w:r>
      <w:proofErr w:type="gramStart"/>
      <w:r w:rsidR="0082352F" w:rsidRPr="00380D35">
        <w:rPr>
          <w:b/>
          <w:i/>
          <w:iCs/>
        </w:rPr>
        <w:t>As</w:t>
      </w:r>
      <w:proofErr w:type="gramEnd"/>
      <w:r w:rsidR="0082352F" w:rsidRPr="00380D35">
        <w:rPr>
          <w:b/>
          <w:i/>
          <w:iCs/>
        </w:rPr>
        <w:t xml:space="preserve"> Short-Term Health Plans; AHPs Provide Comprehensive Coverage </w:t>
      </w:r>
      <w:r w:rsidR="0082352F" w:rsidRPr="00F518BA">
        <w:rPr>
          <w:b/>
          <w:i/>
          <w:iCs/>
        </w:rPr>
        <w:t>As Required Under the ACA, ERISA, HIPAA, COBRA, and State Law</w:t>
      </w:r>
    </w:p>
    <w:p w14:paraId="11320AFA" w14:textId="77777777" w:rsidR="0082352F" w:rsidRPr="002E16E9" w:rsidRDefault="0082352F" w:rsidP="0082352F">
      <w:pPr>
        <w:rPr>
          <w:b/>
        </w:rPr>
      </w:pPr>
    </w:p>
    <w:p w14:paraId="47DBD0F1" w14:textId="4EAEDC71" w:rsidR="0082352F" w:rsidRDefault="0082352F" w:rsidP="0082352F">
      <w:pPr>
        <w:ind w:firstLine="720"/>
      </w:pPr>
      <w:r w:rsidRPr="005B5B4A">
        <w:t>I</w:t>
      </w:r>
      <w:r>
        <w:t>t is important to emphasize that AHPs a</w:t>
      </w:r>
      <w:r w:rsidRPr="005B5B4A">
        <w:t xml:space="preserve">re </w:t>
      </w:r>
      <w:r w:rsidRPr="005B5B4A">
        <w:rPr>
          <w:i/>
        </w:rPr>
        <w:t>not</w:t>
      </w:r>
      <w:r w:rsidRPr="005B5B4A">
        <w:t xml:space="preserve"> the same as short-term health plans.  </w:t>
      </w:r>
      <w:r>
        <w:t xml:space="preserve">We believe it is paramount to make this </w:t>
      </w:r>
      <w:r w:rsidRPr="005B5B4A">
        <w:t xml:space="preserve">distinction because the media and critics of </w:t>
      </w:r>
      <w:r w:rsidR="00A725B3">
        <w:t xml:space="preserve">short-term </w:t>
      </w:r>
      <w:r>
        <w:t xml:space="preserve">health </w:t>
      </w:r>
      <w:r w:rsidR="00A725B3">
        <w:t xml:space="preserve">plans </w:t>
      </w:r>
      <w:r w:rsidRPr="005B5B4A">
        <w:t xml:space="preserve">have inaccurately explained the rules applicable to AHPs.  In short, the media and these critics have conflated AHPs and short-term health plans, and they have described these health plans as being one-in-the-same.  AHPs and short-term health plans are </w:t>
      </w:r>
      <w:r w:rsidRPr="00EF71C6">
        <w:rPr>
          <w:i/>
        </w:rPr>
        <w:t>vastly different</w:t>
      </w:r>
      <w:r w:rsidRPr="005B5B4A">
        <w:t>.</w:t>
      </w:r>
    </w:p>
    <w:p w14:paraId="56EB8943" w14:textId="77777777" w:rsidR="0082352F" w:rsidRPr="005B5B4A" w:rsidRDefault="0082352F" w:rsidP="0082352F">
      <w:pPr>
        <w:ind w:firstLine="720"/>
      </w:pPr>
    </w:p>
    <w:p w14:paraId="24FDB5C5" w14:textId="77777777" w:rsidR="0082352F" w:rsidRPr="00F518BA" w:rsidRDefault="0082352F" w:rsidP="0082352F">
      <w:pPr>
        <w:pStyle w:val="ListParagraph"/>
        <w:numPr>
          <w:ilvl w:val="0"/>
          <w:numId w:val="5"/>
        </w:numPr>
        <w:spacing w:after="0" w:line="240" w:lineRule="auto"/>
        <w:rPr>
          <w:rFonts w:ascii="Times New Roman" w:hAnsi="Times New Roman" w:cs="Times New Roman"/>
          <w:bCs/>
          <w:sz w:val="24"/>
          <w:szCs w:val="24"/>
          <w:u w:val="single"/>
        </w:rPr>
      </w:pPr>
      <w:r w:rsidRPr="00F518BA">
        <w:rPr>
          <w:rFonts w:ascii="Times New Roman" w:hAnsi="Times New Roman" w:cs="Times New Roman"/>
          <w:bCs/>
          <w:sz w:val="24"/>
          <w:szCs w:val="24"/>
          <w:u w:val="single"/>
        </w:rPr>
        <w:t xml:space="preserve">Short-Term Health Plans Are Exempt from the ACA, While AHPs Are Subject to the ACA’s Coverage Requirements </w:t>
      </w:r>
    </w:p>
    <w:p w14:paraId="343305A8" w14:textId="77777777" w:rsidR="0082352F" w:rsidRPr="005B5B4A" w:rsidRDefault="0082352F" w:rsidP="0082352F"/>
    <w:p w14:paraId="246CD5A0" w14:textId="77777777" w:rsidR="0082352F" w:rsidRPr="005B5B4A" w:rsidRDefault="0082352F" w:rsidP="0082352F">
      <w:pPr>
        <w:ind w:firstLine="720"/>
      </w:pPr>
      <w:r w:rsidRPr="005B5B4A">
        <w:t xml:space="preserve">Under existing law, short-term health plans are </w:t>
      </w:r>
      <w:r w:rsidRPr="005B5B4A">
        <w:rPr>
          <w:i/>
        </w:rPr>
        <w:t>not</w:t>
      </w:r>
      <w:r w:rsidRPr="005B5B4A">
        <w:t xml:space="preserve"> considered “health insurance” offered in the individual insurance market,</w:t>
      </w:r>
      <w:r w:rsidRPr="005B5B4A">
        <w:rPr>
          <w:rStyle w:val="FootnoteReference"/>
        </w:rPr>
        <w:footnoteReference w:id="15"/>
      </w:r>
      <w:r w:rsidRPr="005B5B4A">
        <w:t xml:space="preserve"> and therefore, short-term health plans are </w:t>
      </w:r>
      <w:r w:rsidRPr="005B5B4A">
        <w:rPr>
          <w:i/>
        </w:rPr>
        <w:t>not</w:t>
      </w:r>
      <w:r w:rsidRPr="005B5B4A">
        <w:t xml:space="preserve"> subject to the </w:t>
      </w:r>
      <w:r>
        <w:t>Affordable Care Act’s (“</w:t>
      </w:r>
      <w:r w:rsidRPr="005B5B4A">
        <w:t>ACA’s</w:t>
      </w:r>
      <w:r>
        <w:t>”)</w:t>
      </w:r>
      <w:r w:rsidRPr="005B5B4A">
        <w:t xml:space="preserve"> insurance and coverage requirements.</w:t>
      </w:r>
      <w:r w:rsidRPr="005B5B4A">
        <w:rPr>
          <w:rStyle w:val="FootnoteReference"/>
        </w:rPr>
        <w:footnoteReference w:id="16"/>
      </w:r>
      <w:r w:rsidRPr="005B5B4A">
        <w:t xml:space="preserve">  As a result, short-term health plans </w:t>
      </w:r>
      <w:r w:rsidRPr="005B5B4A">
        <w:rPr>
          <w:i/>
        </w:rPr>
        <w:t>can</w:t>
      </w:r>
      <w:r w:rsidRPr="005B5B4A">
        <w:t xml:space="preserve"> deny a person coverage with a pre-existing condition (because the ACA’s pre-existing condition protections do </w:t>
      </w:r>
      <w:r w:rsidRPr="005B5B4A">
        <w:rPr>
          <w:i/>
        </w:rPr>
        <w:t>not</w:t>
      </w:r>
      <w:r w:rsidRPr="005B5B4A">
        <w:t xml:space="preserve"> apply).  Also, a short-term health plan </w:t>
      </w:r>
      <w:r w:rsidRPr="005B5B4A">
        <w:rPr>
          <w:i/>
        </w:rPr>
        <w:t>can</w:t>
      </w:r>
      <w:r w:rsidRPr="005B5B4A">
        <w:t xml:space="preserve"> develop premiums based on a person’s health condition (because the prohibition against developing premiums based on health status does </w:t>
      </w:r>
      <w:r w:rsidRPr="005B5B4A">
        <w:rPr>
          <w:i/>
        </w:rPr>
        <w:t>not</w:t>
      </w:r>
      <w:r w:rsidRPr="005B5B4A">
        <w:t xml:space="preserve"> apply).  </w:t>
      </w:r>
      <w:proofErr w:type="gramStart"/>
      <w:r w:rsidRPr="005B5B4A">
        <w:t>And,</w:t>
      </w:r>
      <w:proofErr w:type="gramEnd"/>
      <w:r w:rsidRPr="005B5B4A">
        <w:t xml:space="preserve"> a short-term health plan </w:t>
      </w:r>
      <w:r w:rsidRPr="005B5B4A">
        <w:rPr>
          <w:i/>
        </w:rPr>
        <w:t>can</w:t>
      </w:r>
      <w:r w:rsidRPr="005B5B4A">
        <w:t xml:space="preserve"> impose annual and lifetime limits on benefits and medical services covered under the plan (because the prohibition against imposing annual and lifetime limits does </w:t>
      </w:r>
      <w:r w:rsidRPr="005B5B4A">
        <w:rPr>
          <w:i/>
        </w:rPr>
        <w:t>not</w:t>
      </w:r>
      <w:r w:rsidRPr="005B5B4A">
        <w:t xml:space="preserve"> apply).</w:t>
      </w:r>
    </w:p>
    <w:p w14:paraId="7E4C1B8F" w14:textId="77777777" w:rsidR="0082352F" w:rsidRPr="005B5B4A" w:rsidRDefault="0082352F" w:rsidP="0082352F"/>
    <w:p w14:paraId="48CA453E" w14:textId="6417FAF2" w:rsidR="0082352F" w:rsidRPr="005B5B4A" w:rsidRDefault="0082352F" w:rsidP="0082352F">
      <w:pPr>
        <w:ind w:firstLine="720"/>
      </w:pPr>
      <w:r w:rsidRPr="005B5B4A">
        <w:t>On the other hand, AHPs – as a “group health plan”</w:t>
      </w:r>
      <w:r w:rsidRPr="005B5B4A">
        <w:rPr>
          <w:rStyle w:val="FootnoteReference"/>
        </w:rPr>
        <w:footnoteReference w:id="17"/>
      </w:r>
      <w:r w:rsidRPr="005B5B4A">
        <w:t xml:space="preserve"> – </w:t>
      </w:r>
      <w:r w:rsidRPr="005B5B4A">
        <w:rPr>
          <w:i/>
        </w:rPr>
        <w:t>are</w:t>
      </w:r>
      <w:r w:rsidRPr="005B5B4A">
        <w:t xml:space="preserve"> subject to the ACA’s coverage requirements.</w:t>
      </w:r>
      <w:r w:rsidRPr="005B5B4A">
        <w:rPr>
          <w:rStyle w:val="FootnoteReference"/>
        </w:rPr>
        <w:footnoteReference w:id="18"/>
      </w:r>
      <w:r w:rsidRPr="005B5B4A">
        <w:t xml:space="preserve">  Again, this distinction is important to understand because – </w:t>
      </w:r>
      <w:r>
        <w:t>under current law</w:t>
      </w:r>
      <w:r w:rsidRPr="005B5B4A">
        <w:t xml:space="preserve"> – AHPs (1) </w:t>
      </w:r>
      <w:r w:rsidRPr="00087C1F">
        <w:rPr>
          <w:i/>
          <w:iCs/>
        </w:rPr>
        <w:t>cannot</w:t>
      </w:r>
      <w:r w:rsidRPr="005B5B4A">
        <w:t xml:space="preserve"> deny a person coverage if they have a pre-existing condition, (2) </w:t>
      </w:r>
      <w:r w:rsidRPr="00087C1F">
        <w:rPr>
          <w:i/>
          <w:iCs/>
        </w:rPr>
        <w:t>cannot</w:t>
      </w:r>
      <w:r w:rsidRPr="005B5B4A">
        <w:t xml:space="preserve"> develop premiums based on a participant’s health condition, and (3) </w:t>
      </w:r>
      <w:r w:rsidRPr="00087C1F">
        <w:rPr>
          <w:i/>
          <w:iCs/>
        </w:rPr>
        <w:t>cannot</w:t>
      </w:r>
      <w:r w:rsidRPr="005B5B4A">
        <w:t xml:space="preserve"> impose annual and lifetime limits</w:t>
      </w:r>
      <w:r>
        <w:t xml:space="preserve"> on the </w:t>
      </w:r>
      <w:r w:rsidR="00933835">
        <w:t>E</w:t>
      </w:r>
      <w:r w:rsidRPr="005B5B4A">
        <w:rPr>
          <w:rFonts w:eastAsia="Times New Roman"/>
        </w:rPr>
        <w:t>HB</w:t>
      </w:r>
      <w:r>
        <w:rPr>
          <w:rFonts w:eastAsia="Times New Roman"/>
        </w:rPr>
        <w:t>s covered under the plan</w:t>
      </w:r>
      <w:r w:rsidRPr="005B5B4A">
        <w:t xml:space="preserve">.  </w:t>
      </w:r>
    </w:p>
    <w:p w14:paraId="12CF44F3" w14:textId="77777777" w:rsidR="0082352F" w:rsidRPr="005B5B4A" w:rsidRDefault="0082352F" w:rsidP="0082352F"/>
    <w:p w14:paraId="3494E78F" w14:textId="77777777" w:rsidR="0082352F" w:rsidRPr="005B5B4A" w:rsidRDefault="0082352F" w:rsidP="0082352F">
      <w:pPr>
        <w:ind w:firstLine="720"/>
      </w:pPr>
      <w:r w:rsidRPr="005B5B4A">
        <w:t xml:space="preserve">According to the ACA, a fully-insured “large group” and self-insured AHP – as a “group health plan” – </w:t>
      </w:r>
      <w:r w:rsidRPr="005B5B4A">
        <w:rPr>
          <w:i/>
        </w:rPr>
        <w:t>must</w:t>
      </w:r>
      <w:r w:rsidRPr="005B5B4A">
        <w:t xml:space="preserve">: </w:t>
      </w:r>
    </w:p>
    <w:p w14:paraId="4F842527" w14:textId="77777777" w:rsidR="0082352F" w:rsidRPr="005B5B4A" w:rsidRDefault="0082352F" w:rsidP="0082352F"/>
    <w:p w14:paraId="1B921898" w14:textId="77777777" w:rsidR="0082352F" w:rsidRPr="005B5B4A" w:rsidRDefault="0082352F" w:rsidP="0082352F">
      <w:pPr>
        <w:pStyle w:val="BodyText"/>
        <w:numPr>
          <w:ilvl w:val="0"/>
          <w:numId w:val="1"/>
        </w:numPr>
        <w:spacing w:after="0"/>
      </w:pPr>
      <w:r w:rsidRPr="005B5B4A">
        <w:t>Eliminate all pre-existing condition exclusions for all plan participants.</w:t>
      </w:r>
      <w:r w:rsidRPr="005B5B4A">
        <w:rPr>
          <w:rStyle w:val="FootnoteReference"/>
        </w:rPr>
        <w:footnoteReference w:id="19"/>
      </w:r>
      <w:r w:rsidRPr="005B5B4A">
        <w:t xml:space="preserve">  </w:t>
      </w:r>
    </w:p>
    <w:p w14:paraId="4EC64760" w14:textId="77777777" w:rsidR="0082352F" w:rsidRPr="005B5B4A" w:rsidRDefault="0082352F" w:rsidP="0082352F">
      <w:pPr>
        <w:pStyle w:val="BodyText"/>
        <w:numPr>
          <w:ilvl w:val="0"/>
          <w:numId w:val="1"/>
        </w:numPr>
        <w:spacing w:after="0"/>
      </w:pPr>
      <w:r w:rsidRPr="005B5B4A">
        <w:t>Stop imposing annual and lifetime limits on the “essential health benefits” covered under the plan.</w:t>
      </w:r>
      <w:r w:rsidRPr="005B5B4A">
        <w:rPr>
          <w:rStyle w:val="FootnoteReference"/>
        </w:rPr>
        <w:footnoteReference w:id="20"/>
      </w:r>
    </w:p>
    <w:p w14:paraId="27AD04A5" w14:textId="77777777" w:rsidR="0082352F" w:rsidRPr="005B5B4A" w:rsidRDefault="0082352F" w:rsidP="0082352F">
      <w:pPr>
        <w:pStyle w:val="BodyText"/>
        <w:numPr>
          <w:ilvl w:val="0"/>
          <w:numId w:val="1"/>
        </w:numPr>
        <w:spacing w:after="0"/>
      </w:pPr>
      <w:r w:rsidRPr="005B5B4A">
        <w:rPr>
          <w:bCs/>
        </w:rPr>
        <w:t>Provide coverage for certain preventive health services with no cost-sharing.</w:t>
      </w:r>
      <w:r w:rsidRPr="005B5B4A">
        <w:rPr>
          <w:rStyle w:val="FootnoteReference"/>
        </w:rPr>
        <w:footnoteReference w:id="21"/>
      </w:r>
    </w:p>
    <w:p w14:paraId="3397EE75" w14:textId="77777777" w:rsidR="0082352F" w:rsidRPr="005B5B4A" w:rsidRDefault="0082352F" w:rsidP="0082352F">
      <w:pPr>
        <w:pStyle w:val="BodyText"/>
        <w:numPr>
          <w:ilvl w:val="0"/>
          <w:numId w:val="1"/>
        </w:numPr>
        <w:spacing w:after="0"/>
      </w:pPr>
      <w:r w:rsidRPr="005B5B4A">
        <w:lastRenderedPageBreak/>
        <w:t>Cover “adult children” up to age 26.</w:t>
      </w:r>
      <w:r w:rsidRPr="005B5B4A">
        <w:rPr>
          <w:rStyle w:val="FootnoteReference"/>
        </w:rPr>
        <w:footnoteReference w:id="22"/>
      </w:r>
      <w:r w:rsidRPr="005B5B4A">
        <w:t xml:space="preserve">    </w:t>
      </w:r>
    </w:p>
    <w:p w14:paraId="66A3C10A" w14:textId="77777777" w:rsidR="0082352F" w:rsidRPr="005B5B4A" w:rsidRDefault="0082352F" w:rsidP="0082352F">
      <w:pPr>
        <w:pStyle w:val="BodyText"/>
        <w:numPr>
          <w:ilvl w:val="0"/>
          <w:numId w:val="1"/>
        </w:numPr>
        <w:spacing w:after="0"/>
      </w:pPr>
      <w:r w:rsidRPr="005B5B4A">
        <w:t>Stop rescinding coverage absent fraud or misrepresentation.</w:t>
      </w:r>
      <w:r w:rsidRPr="005B5B4A">
        <w:rPr>
          <w:rStyle w:val="FootnoteReference"/>
        </w:rPr>
        <w:footnoteReference w:id="23"/>
      </w:r>
      <w:r w:rsidRPr="005B5B4A">
        <w:t xml:space="preserve">   </w:t>
      </w:r>
    </w:p>
    <w:p w14:paraId="333181DD" w14:textId="77777777" w:rsidR="0082352F" w:rsidRPr="005B5B4A" w:rsidRDefault="0082352F" w:rsidP="0082352F">
      <w:pPr>
        <w:pStyle w:val="BodyText"/>
        <w:numPr>
          <w:ilvl w:val="0"/>
          <w:numId w:val="1"/>
        </w:numPr>
        <w:spacing w:after="0"/>
      </w:pPr>
      <w:r w:rsidRPr="005B5B4A">
        <w:rPr>
          <w:bCs/>
        </w:rPr>
        <w:t>Include new internal and external appeals processes (and provide notice).</w:t>
      </w:r>
      <w:r w:rsidRPr="005B5B4A">
        <w:rPr>
          <w:rStyle w:val="FootnoteReference"/>
        </w:rPr>
        <w:footnoteReference w:id="24"/>
      </w:r>
      <w:r w:rsidRPr="005B5B4A">
        <w:rPr>
          <w:bCs/>
        </w:rPr>
        <w:t xml:space="preserve">  </w:t>
      </w:r>
    </w:p>
    <w:p w14:paraId="0D4FBDFA" w14:textId="77777777" w:rsidR="0082352F" w:rsidRPr="005B5B4A" w:rsidRDefault="0082352F" w:rsidP="0082352F">
      <w:pPr>
        <w:pStyle w:val="BodyText"/>
        <w:numPr>
          <w:ilvl w:val="0"/>
          <w:numId w:val="1"/>
        </w:numPr>
        <w:spacing w:after="0"/>
      </w:pPr>
      <w:r w:rsidRPr="005B5B4A">
        <w:rPr>
          <w:bCs/>
        </w:rPr>
        <w:t>Allow participants a choice of primary care physician/pediatrician/OB/GYN.</w:t>
      </w:r>
      <w:r w:rsidRPr="005B5B4A">
        <w:rPr>
          <w:rStyle w:val="FootnoteReference"/>
        </w:rPr>
        <w:footnoteReference w:id="25"/>
      </w:r>
    </w:p>
    <w:p w14:paraId="4737C642" w14:textId="77777777" w:rsidR="0082352F" w:rsidRPr="005B5B4A" w:rsidRDefault="0082352F" w:rsidP="0082352F">
      <w:pPr>
        <w:pStyle w:val="BodyText"/>
        <w:numPr>
          <w:ilvl w:val="0"/>
          <w:numId w:val="1"/>
        </w:numPr>
        <w:spacing w:after="0"/>
      </w:pPr>
      <w:r w:rsidRPr="005B5B4A">
        <w:rPr>
          <w:bCs/>
        </w:rPr>
        <w:t>Provide direct access to emergency services.</w:t>
      </w:r>
      <w:r w:rsidRPr="005B5B4A">
        <w:rPr>
          <w:rStyle w:val="FootnoteReference"/>
        </w:rPr>
        <w:footnoteReference w:id="26"/>
      </w:r>
      <w:r w:rsidRPr="005B5B4A">
        <w:rPr>
          <w:bCs/>
        </w:rPr>
        <w:t xml:space="preserve">  </w:t>
      </w:r>
    </w:p>
    <w:p w14:paraId="41BDB2C9" w14:textId="77777777" w:rsidR="0082352F" w:rsidRPr="005B5B4A" w:rsidRDefault="0082352F" w:rsidP="0082352F">
      <w:pPr>
        <w:pStyle w:val="BodyText"/>
        <w:numPr>
          <w:ilvl w:val="0"/>
          <w:numId w:val="2"/>
        </w:numPr>
        <w:spacing w:after="0"/>
      </w:pPr>
      <w:r w:rsidRPr="005B5B4A">
        <w:t>Refrain from establishing rules for eligibility based on, among other things, health status, medical condition, claims experience, medical history, or genetic information.</w:t>
      </w:r>
      <w:r w:rsidRPr="005B5B4A">
        <w:rPr>
          <w:rStyle w:val="FootnoteReference"/>
        </w:rPr>
        <w:footnoteReference w:id="27"/>
      </w:r>
      <w:r w:rsidRPr="005B5B4A">
        <w:t xml:space="preserve">  </w:t>
      </w:r>
    </w:p>
    <w:p w14:paraId="25809692" w14:textId="77777777" w:rsidR="0082352F" w:rsidRPr="005B5B4A" w:rsidRDefault="0082352F" w:rsidP="0082352F">
      <w:pPr>
        <w:pStyle w:val="BodyText"/>
        <w:numPr>
          <w:ilvl w:val="0"/>
          <w:numId w:val="2"/>
        </w:numPr>
        <w:spacing w:after="0"/>
      </w:pPr>
      <w:r w:rsidRPr="005B5B4A">
        <w:t>Limit the plan’s cost-sharing to the maximum out-of-pocket limits for a high-deductible health plan defined under the health savings account (“HSA”) rules for 2014.</w:t>
      </w:r>
      <w:r w:rsidRPr="005B5B4A">
        <w:rPr>
          <w:rStyle w:val="FootnoteReference"/>
        </w:rPr>
        <w:footnoteReference w:id="28"/>
      </w:r>
      <w:r w:rsidRPr="005B5B4A">
        <w:t xml:space="preserve">  </w:t>
      </w:r>
    </w:p>
    <w:p w14:paraId="511D38CD" w14:textId="77777777" w:rsidR="0082352F" w:rsidRPr="005B5B4A" w:rsidRDefault="0082352F" w:rsidP="0082352F">
      <w:pPr>
        <w:pStyle w:val="BodyText"/>
        <w:numPr>
          <w:ilvl w:val="0"/>
          <w:numId w:val="2"/>
        </w:numPr>
        <w:spacing w:after="0"/>
      </w:pPr>
      <w:r w:rsidRPr="005B5B4A">
        <w:t>Eliminate waiting periods that exceed 90 days.</w:t>
      </w:r>
      <w:r w:rsidRPr="005B5B4A">
        <w:rPr>
          <w:rStyle w:val="FootnoteReference"/>
        </w:rPr>
        <w:footnoteReference w:id="29"/>
      </w:r>
      <w:r w:rsidRPr="005B5B4A">
        <w:t xml:space="preserve"> </w:t>
      </w:r>
    </w:p>
    <w:p w14:paraId="6919018A" w14:textId="77777777" w:rsidR="0082352F" w:rsidRPr="005B5B4A" w:rsidRDefault="0082352F" w:rsidP="0082352F">
      <w:pPr>
        <w:pStyle w:val="BodyText"/>
        <w:numPr>
          <w:ilvl w:val="0"/>
          <w:numId w:val="2"/>
        </w:numPr>
        <w:spacing w:after="0"/>
      </w:pPr>
      <w:r w:rsidRPr="005B5B4A">
        <w:t>Cover the cost of clinical trial participation.</w:t>
      </w:r>
      <w:r w:rsidRPr="005B5B4A">
        <w:rPr>
          <w:rStyle w:val="FootnoteReference"/>
        </w:rPr>
        <w:footnoteReference w:id="30"/>
      </w:r>
      <w:r w:rsidRPr="005B5B4A">
        <w:t xml:space="preserve">  </w:t>
      </w:r>
    </w:p>
    <w:p w14:paraId="7F5CE8A4" w14:textId="77777777" w:rsidR="0082352F" w:rsidRPr="005B5B4A" w:rsidRDefault="0082352F" w:rsidP="0082352F">
      <w:pPr>
        <w:pStyle w:val="BodyText"/>
        <w:numPr>
          <w:ilvl w:val="0"/>
          <w:numId w:val="2"/>
        </w:numPr>
        <w:spacing w:after="0"/>
      </w:pPr>
      <w:r w:rsidRPr="005B5B4A">
        <w:rPr>
          <w:bCs/>
        </w:rPr>
        <w:t>Provide participants with a summary of benefits and coverage.</w:t>
      </w:r>
      <w:r w:rsidRPr="005B5B4A">
        <w:rPr>
          <w:rStyle w:val="FootnoteReference"/>
        </w:rPr>
        <w:footnoteReference w:id="31"/>
      </w:r>
      <w:r w:rsidRPr="005B5B4A">
        <w:rPr>
          <w:bCs/>
        </w:rPr>
        <w:t xml:space="preserve">  </w:t>
      </w:r>
    </w:p>
    <w:p w14:paraId="2BA401B7" w14:textId="0308BA66" w:rsidR="00423A15" w:rsidRDefault="0082352F" w:rsidP="0082352F">
      <w:pPr>
        <w:pStyle w:val="BodyText"/>
        <w:numPr>
          <w:ilvl w:val="0"/>
          <w:numId w:val="2"/>
        </w:numPr>
        <w:spacing w:after="0"/>
      </w:pPr>
      <w:r w:rsidRPr="005B5B4A">
        <w:rPr>
          <w:bCs/>
        </w:rPr>
        <w:t>Provide annual reports describing the plan’s quality-of-care provisions.</w:t>
      </w:r>
      <w:r w:rsidRPr="005B5B4A">
        <w:rPr>
          <w:rStyle w:val="FootnoteReference"/>
        </w:rPr>
        <w:footnoteReference w:id="32"/>
      </w:r>
      <w:r w:rsidRPr="005B5B4A">
        <w:rPr>
          <w:bCs/>
        </w:rPr>
        <w:t xml:space="preserve"> </w:t>
      </w:r>
    </w:p>
    <w:p w14:paraId="0AB7516E" w14:textId="77777777" w:rsidR="00423A15" w:rsidRPr="005B5B4A" w:rsidRDefault="00423A15" w:rsidP="0082352F">
      <w:pPr>
        <w:pStyle w:val="BodyText"/>
        <w:spacing w:after="0"/>
      </w:pPr>
    </w:p>
    <w:p w14:paraId="6CB97644" w14:textId="77777777" w:rsidR="0082352F" w:rsidRPr="00F518BA" w:rsidRDefault="0082352F" w:rsidP="0082352F">
      <w:pPr>
        <w:pStyle w:val="BodyText"/>
        <w:numPr>
          <w:ilvl w:val="0"/>
          <w:numId w:val="5"/>
        </w:numPr>
        <w:spacing w:after="0"/>
        <w:rPr>
          <w:bCs/>
          <w:u w:val="single"/>
        </w:rPr>
      </w:pPr>
      <w:r w:rsidRPr="00F518BA">
        <w:rPr>
          <w:bCs/>
          <w:u w:val="single"/>
        </w:rPr>
        <w:t>Consumer Protections Under ERISA, HIPAA, and COBRA Apply to AHPs</w:t>
      </w:r>
    </w:p>
    <w:p w14:paraId="21FB0FF5" w14:textId="77777777" w:rsidR="0082352F" w:rsidRPr="005B5B4A" w:rsidRDefault="0082352F" w:rsidP="0082352F">
      <w:pPr>
        <w:pStyle w:val="BodyText"/>
        <w:spacing w:after="0"/>
      </w:pPr>
    </w:p>
    <w:p w14:paraId="379FEA38" w14:textId="77777777" w:rsidR="0082352F" w:rsidRPr="005B5B4A" w:rsidRDefault="0082352F" w:rsidP="0082352F">
      <w:pPr>
        <w:ind w:firstLine="720"/>
        <w:rPr>
          <w:rFonts w:eastAsia="Times New Roman"/>
        </w:rPr>
      </w:pPr>
      <w:r w:rsidRPr="005B5B4A">
        <w:rPr>
          <w:rFonts w:eastAsia="Times New Roman"/>
        </w:rPr>
        <w:t xml:space="preserve">Under ERISA, there are specific notice and disclosure requirements that a </w:t>
      </w:r>
      <w:proofErr w:type="gramStart"/>
      <w:r w:rsidRPr="005B5B4A">
        <w:rPr>
          <w:rFonts w:eastAsia="Times New Roman"/>
        </w:rPr>
        <w:t>fully-insured</w:t>
      </w:r>
      <w:proofErr w:type="gramEnd"/>
      <w:r w:rsidRPr="005B5B4A">
        <w:rPr>
          <w:rFonts w:eastAsia="Times New Roman"/>
        </w:rPr>
        <w:t xml:space="preserve"> “large group” and self-insured AHP must comply with.</w:t>
      </w:r>
      <w:r w:rsidRPr="005B5B4A">
        <w:rPr>
          <w:rStyle w:val="FootnoteReference"/>
          <w:rFonts w:eastAsia="Times New Roman"/>
        </w:rPr>
        <w:footnoteReference w:id="33"/>
      </w:r>
      <w:r w:rsidRPr="005B5B4A">
        <w:rPr>
          <w:rFonts w:eastAsia="Times New Roman"/>
        </w:rPr>
        <w:t xml:space="preserve">  In addition, ERISA’s fiduciary responsibilities apply,</w:t>
      </w:r>
      <w:r w:rsidRPr="005B5B4A">
        <w:rPr>
          <w:rStyle w:val="FootnoteReference"/>
          <w:rFonts w:eastAsia="Times New Roman"/>
        </w:rPr>
        <w:footnoteReference w:id="34"/>
      </w:r>
      <w:r w:rsidRPr="005B5B4A">
        <w:rPr>
          <w:rFonts w:eastAsia="Times New Roman"/>
        </w:rPr>
        <w:t xml:space="preserve"> requiring the AHP and its employer members to act in the best interest of the plan participants.  AHP plan participants also have a private right of action to sue the </w:t>
      </w:r>
      <w:r w:rsidRPr="005B5B4A">
        <w:t xml:space="preserve">AHP </w:t>
      </w:r>
      <w:r w:rsidRPr="005B5B4A">
        <w:rPr>
          <w:rFonts w:eastAsia="Times New Roman"/>
        </w:rPr>
        <w:t>if there is wrong-doing,</w:t>
      </w:r>
      <w:r w:rsidRPr="005B5B4A">
        <w:rPr>
          <w:rStyle w:val="FootnoteReference"/>
          <w:rFonts w:eastAsia="Times New Roman"/>
        </w:rPr>
        <w:footnoteReference w:id="35"/>
      </w:r>
      <w:r w:rsidRPr="005B5B4A">
        <w:rPr>
          <w:rFonts w:eastAsia="Times New Roman"/>
        </w:rPr>
        <w:t xml:space="preserve"> and there are detailed procedures for filing health status.</w:t>
      </w:r>
      <w:r w:rsidRPr="005B5B4A">
        <w:rPr>
          <w:rStyle w:val="FootnoteReference"/>
          <w:rFonts w:eastAsia="Times New Roman"/>
        </w:rPr>
        <w:footnoteReference w:id="36"/>
      </w:r>
      <w:r w:rsidRPr="005B5B4A">
        <w:rPr>
          <w:rFonts w:eastAsia="Times New Roman"/>
        </w:rPr>
        <w:t xml:space="preserve">  </w:t>
      </w:r>
    </w:p>
    <w:p w14:paraId="0CE93360" w14:textId="77777777" w:rsidR="0082352F" w:rsidRPr="005B5B4A" w:rsidRDefault="0082352F" w:rsidP="0082352F">
      <w:pPr>
        <w:ind w:firstLine="720"/>
      </w:pPr>
    </w:p>
    <w:p w14:paraId="696492DC" w14:textId="77777777" w:rsidR="0082352F" w:rsidRPr="005B5B4A" w:rsidRDefault="0082352F" w:rsidP="0082352F">
      <w:pPr>
        <w:ind w:firstLine="720"/>
        <w:rPr>
          <w:rFonts w:eastAsia="Times New Roman"/>
        </w:rPr>
      </w:pPr>
      <w:r w:rsidRPr="005B5B4A">
        <w:t>According to COBRA, a plan participant terminating coverage under an AHP has a right to continuation of coverage,</w:t>
      </w:r>
      <w:r w:rsidRPr="005B5B4A">
        <w:rPr>
          <w:rStyle w:val="FootnoteReference"/>
        </w:rPr>
        <w:footnoteReference w:id="37"/>
      </w:r>
      <w:r w:rsidRPr="005B5B4A">
        <w:t xml:space="preserve"> and according to HIPAA, </w:t>
      </w:r>
      <w:r w:rsidRPr="005B5B4A">
        <w:rPr>
          <w:rFonts w:eastAsia="Times New Roman"/>
        </w:rPr>
        <w:t xml:space="preserve">premiums for an AHP participant </w:t>
      </w:r>
      <w:r w:rsidRPr="005B5B4A">
        <w:rPr>
          <w:rFonts w:eastAsia="Times New Roman"/>
          <w:i/>
        </w:rPr>
        <w:t>cannot</w:t>
      </w:r>
      <w:r w:rsidRPr="005B5B4A">
        <w:rPr>
          <w:rFonts w:eastAsia="Times New Roman"/>
        </w:rPr>
        <w:t xml:space="preserve"> be developed based on the participant’s health condition.</w:t>
      </w:r>
      <w:r w:rsidRPr="005B5B4A">
        <w:rPr>
          <w:rStyle w:val="FootnoteReference"/>
          <w:rFonts w:eastAsia="Times New Roman"/>
        </w:rPr>
        <w:footnoteReference w:id="38"/>
      </w:r>
      <w:r w:rsidRPr="005B5B4A">
        <w:rPr>
          <w:rFonts w:eastAsia="Times New Roman"/>
        </w:rPr>
        <w:t xml:space="preserve">  </w:t>
      </w:r>
    </w:p>
    <w:p w14:paraId="5262E979" w14:textId="77777777" w:rsidR="0082352F" w:rsidRPr="005B5B4A" w:rsidRDefault="0082352F" w:rsidP="0082352F">
      <w:pPr>
        <w:rPr>
          <w:rFonts w:eastAsia="Times New Roman"/>
        </w:rPr>
      </w:pPr>
    </w:p>
    <w:p w14:paraId="37A3A1D9" w14:textId="77777777" w:rsidR="0082352F" w:rsidRPr="00F518BA" w:rsidRDefault="0082352F" w:rsidP="0082352F">
      <w:pPr>
        <w:pStyle w:val="ListParagraph"/>
        <w:numPr>
          <w:ilvl w:val="0"/>
          <w:numId w:val="5"/>
        </w:numPr>
        <w:spacing w:after="0" w:line="240" w:lineRule="auto"/>
        <w:rPr>
          <w:rFonts w:ascii="Times New Roman" w:eastAsia="Times New Roman" w:hAnsi="Times New Roman" w:cs="Times New Roman"/>
          <w:bCs/>
          <w:sz w:val="24"/>
          <w:szCs w:val="24"/>
          <w:u w:val="single"/>
        </w:rPr>
      </w:pPr>
      <w:r w:rsidRPr="00F518BA">
        <w:rPr>
          <w:rFonts w:ascii="Times New Roman" w:eastAsia="Times New Roman" w:hAnsi="Times New Roman" w:cs="Times New Roman"/>
          <w:bCs/>
          <w:sz w:val="24"/>
          <w:szCs w:val="24"/>
          <w:u w:val="single"/>
        </w:rPr>
        <w:t xml:space="preserve">State Benefit Mandates Apply to </w:t>
      </w:r>
      <w:proofErr w:type="gramStart"/>
      <w:r w:rsidRPr="00F518BA">
        <w:rPr>
          <w:rFonts w:ascii="Times New Roman" w:eastAsia="Times New Roman" w:hAnsi="Times New Roman" w:cs="Times New Roman"/>
          <w:bCs/>
          <w:sz w:val="24"/>
          <w:szCs w:val="24"/>
          <w:u w:val="single"/>
        </w:rPr>
        <w:t>Full</w:t>
      </w:r>
      <w:r>
        <w:rPr>
          <w:rFonts w:ascii="Times New Roman" w:eastAsia="Times New Roman" w:hAnsi="Times New Roman" w:cs="Times New Roman"/>
          <w:bCs/>
          <w:sz w:val="24"/>
          <w:szCs w:val="24"/>
          <w:u w:val="single"/>
        </w:rPr>
        <w:t>y</w:t>
      </w:r>
      <w:r w:rsidRPr="00F518BA">
        <w:rPr>
          <w:rFonts w:ascii="Times New Roman" w:eastAsia="Times New Roman" w:hAnsi="Times New Roman" w:cs="Times New Roman"/>
          <w:bCs/>
          <w:sz w:val="24"/>
          <w:szCs w:val="24"/>
          <w:u w:val="single"/>
        </w:rPr>
        <w:t>-Insured</w:t>
      </w:r>
      <w:proofErr w:type="gramEnd"/>
      <w:r w:rsidRPr="00F518BA">
        <w:rPr>
          <w:rFonts w:ascii="Times New Roman" w:eastAsia="Times New Roman" w:hAnsi="Times New Roman" w:cs="Times New Roman"/>
          <w:bCs/>
          <w:sz w:val="24"/>
          <w:szCs w:val="24"/>
          <w:u w:val="single"/>
        </w:rPr>
        <w:t xml:space="preserve"> “Large Group” AHPs</w:t>
      </w:r>
    </w:p>
    <w:p w14:paraId="1B84C1F9" w14:textId="77777777" w:rsidR="0082352F" w:rsidRPr="005B5B4A" w:rsidRDefault="0082352F" w:rsidP="0082352F">
      <w:pPr>
        <w:rPr>
          <w:rFonts w:eastAsia="Times New Roman"/>
        </w:rPr>
      </w:pPr>
    </w:p>
    <w:p w14:paraId="4F123384" w14:textId="77777777" w:rsidR="0082352F" w:rsidRPr="005B5B4A" w:rsidRDefault="0082352F" w:rsidP="0082352F">
      <w:pPr>
        <w:ind w:firstLine="720"/>
        <w:rPr>
          <w:rFonts w:eastAsia="Times New Roman"/>
        </w:rPr>
      </w:pPr>
      <w:r w:rsidRPr="005B5B4A">
        <w:rPr>
          <w:rFonts w:eastAsia="Times New Roman"/>
        </w:rPr>
        <w:t xml:space="preserve">Another important layer of coverage requirements that is often times overlooked by critics of AHPs is this:  A </w:t>
      </w:r>
      <w:proofErr w:type="gramStart"/>
      <w:r w:rsidRPr="005B5B4A">
        <w:rPr>
          <w:rFonts w:eastAsia="Times New Roman"/>
        </w:rPr>
        <w:t>fully-insured</w:t>
      </w:r>
      <w:proofErr w:type="gramEnd"/>
      <w:r w:rsidRPr="005B5B4A">
        <w:rPr>
          <w:rFonts w:eastAsia="Times New Roman"/>
        </w:rPr>
        <w:t xml:space="preserve"> “large group” AHP will be subject to State benefit mandates.  State benefit mandates require an insurance contract sold within a particular State to cover specified benefits and medical services.  The State benefit mandates applicable to </w:t>
      </w:r>
      <w:proofErr w:type="gramStart"/>
      <w:r w:rsidRPr="005B5B4A">
        <w:rPr>
          <w:rFonts w:eastAsia="Times New Roman"/>
        </w:rPr>
        <w:t>fully-insured</w:t>
      </w:r>
      <w:proofErr w:type="gramEnd"/>
      <w:r w:rsidRPr="005B5B4A">
        <w:rPr>
          <w:rFonts w:eastAsia="Times New Roman"/>
        </w:rPr>
        <w:t xml:space="preserve"> “large group” plans in </w:t>
      </w:r>
      <w:r w:rsidRPr="005B5B4A">
        <w:rPr>
          <w:rFonts w:eastAsia="Times New Roman"/>
        </w:rPr>
        <w:lastRenderedPageBreak/>
        <w:t>most States are as good as the ACA’s EHB</w:t>
      </w:r>
      <w:r>
        <w:rPr>
          <w:rFonts w:eastAsia="Times New Roman"/>
        </w:rPr>
        <w:t>s</w:t>
      </w:r>
      <w:r w:rsidRPr="005B5B4A">
        <w:rPr>
          <w:rFonts w:eastAsia="Times New Roman"/>
        </w:rPr>
        <w:t>.  Even in States where their benefit mandates do not cover all of the</w:t>
      </w:r>
      <w:r>
        <w:rPr>
          <w:rFonts w:eastAsia="Times New Roman"/>
        </w:rPr>
        <w:t xml:space="preserve"> ten</w:t>
      </w:r>
      <w:r w:rsidRPr="005B5B4A">
        <w:rPr>
          <w:rFonts w:eastAsia="Times New Roman"/>
        </w:rPr>
        <w:t xml:space="preserve"> medical services that make up </w:t>
      </w:r>
      <w:r>
        <w:rPr>
          <w:rFonts w:eastAsia="Times New Roman"/>
        </w:rPr>
        <w:t>the</w:t>
      </w:r>
      <w:r w:rsidRPr="005B5B4A">
        <w:rPr>
          <w:rFonts w:eastAsia="Times New Roman"/>
        </w:rPr>
        <w:t xml:space="preserve"> EHB</w:t>
      </w:r>
      <w:r>
        <w:rPr>
          <w:rFonts w:eastAsia="Times New Roman"/>
        </w:rPr>
        <w:t>s</w:t>
      </w:r>
      <w:r w:rsidRPr="005B5B4A">
        <w:rPr>
          <w:rFonts w:eastAsia="Times New Roman"/>
        </w:rPr>
        <w:t xml:space="preserve">, the drafters of the ACA observed that most if not all </w:t>
      </w:r>
      <w:proofErr w:type="gramStart"/>
      <w:r w:rsidRPr="005B5B4A">
        <w:rPr>
          <w:rFonts w:eastAsia="Times New Roman"/>
        </w:rPr>
        <w:t>fully-insured</w:t>
      </w:r>
      <w:proofErr w:type="gramEnd"/>
      <w:r w:rsidRPr="005B5B4A">
        <w:rPr>
          <w:rFonts w:eastAsia="Times New Roman"/>
        </w:rPr>
        <w:t xml:space="preserve"> “large group” plans </w:t>
      </w:r>
      <w:r>
        <w:rPr>
          <w:rFonts w:eastAsia="Times New Roman"/>
        </w:rPr>
        <w:t xml:space="preserve">were already </w:t>
      </w:r>
      <w:r w:rsidRPr="005B5B4A">
        <w:rPr>
          <w:rFonts w:eastAsia="Times New Roman"/>
        </w:rPr>
        <w:t>co</w:t>
      </w:r>
      <w:r>
        <w:rPr>
          <w:rFonts w:eastAsia="Times New Roman"/>
        </w:rPr>
        <w:t xml:space="preserve">vering </w:t>
      </w:r>
      <w:r w:rsidRPr="005B5B4A">
        <w:rPr>
          <w:rFonts w:eastAsia="Times New Roman"/>
        </w:rPr>
        <w:t>the EHBs, which led Congress to exempt fully-insured “large group plans” from the EHB requirement entirely.</w:t>
      </w:r>
    </w:p>
    <w:p w14:paraId="084F226D" w14:textId="77777777" w:rsidR="0082352F" w:rsidRPr="005B5B4A" w:rsidRDefault="0082352F" w:rsidP="0082352F">
      <w:pPr>
        <w:rPr>
          <w:rFonts w:eastAsia="Times New Roman"/>
        </w:rPr>
      </w:pPr>
      <w:bookmarkStart w:id="0" w:name="_Hlk495935627"/>
    </w:p>
    <w:p w14:paraId="5EE87069" w14:textId="77777777" w:rsidR="0082352F" w:rsidRPr="00F518BA" w:rsidRDefault="0082352F" w:rsidP="0082352F">
      <w:pPr>
        <w:pStyle w:val="ListParagraph"/>
        <w:numPr>
          <w:ilvl w:val="0"/>
          <w:numId w:val="5"/>
        </w:numPr>
        <w:spacing w:after="0" w:line="240" w:lineRule="auto"/>
        <w:rPr>
          <w:rFonts w:ascii="Times New Roman" w:eastAsia="Times New Roman" w:hAnsi="Times New Roman" w:cs="Times New Roman"/>
          <w:bCs/>
          <w:sz w:val="24"/>
          <w:szCs w:val="24"/>
          <w:u w:val="single"/>
        </w:rPr>
      </w:pPr>
      <w:r w:rsidRPr="00F518BA">
        <w:rPr>
          <w:rFonts w:ascii="Times New Roman" w:eastAsia="Times New Roman" w:hAnsi="Times New Roman" w:cs="Times New Roman"/>
          <w:bCs/>
          <w:sz w:val="24"/>
          <w:szCs w:val="24"/>
          <w:u w:val="single"/>
        </w:rPr>
        <w:t>State MEWA Statutes Apply to Self-Insured AHPs</w:t>
      </w:r>
    </w:p>
    <w:p w14:paraId="162D4A8F" w14:textId="77777777" w:rsidR="0082352F" w:rsidRPr="005B5B4A" w:rsidRDefault="0082352F" w:rsidP="0082352F">
      <w:pPr>
        <w:rPr>
          <w:rFonts w:eastAsia="Times New Roman"/>
        </w:rPr>
      </w:pPr>
    </w:p>
    <w:p w14:paraId="087E8122" w14:textId="5B4F1C81" w:rsidR="00DA4D35" w:rsidRPr="009B29F6" w:rsidRDefault="0082352F" w:rsidP="009B29F6">
      <w:pPr>
        <w:ind w:firstLine="720"/>
        <w:rPr>
          <w:color w:val="000000"/>
          <w:lang w:val="en"/>
        </w:rPr>
      </w:pPr>
      <w:r w:rsidRPr="005B5B4A">
        <w:rPr>
          <w:rFonts w:eastAsia="Times New Roman"/>
        </w:rPr>
        <w:t xml:space="preserve">In the case of a self-insured AHP, </w:t>
      </w:r>
      <w:r w:rsidRPr="005B5B4A">
        <w:rPr>
          <w:rFonts w:eastAsia="Times New Roman"/>
          <w:color w:val="000000"/>
          <w:lang w:bidi="th-TH"/>
        </w:rPr>
        <w:t xml:space="preserve">this arrangement is </w:t>
      </w:r>
      <w:proofErr w:type="gramStart"/>
      <w:r w:rsidRPr="005B5B4A">
        <w:rPr>
          <w:rFonts w:eastAsia="Times New Roman"/>
          <w:color w:val="000000"/>
          <w:lang w:bidi="th-TH"/>
        </w:rPr>
        <w:t>by definition a</w:t>
      </w:r>
      <w:proofErr w:type="gramEnd"/>
      <w:r w:rsidRPr="005B5B4A">
        <w:rPr>
          <w:rFonts w:eastAsia="Times New Roman"/>
          <w:color w:val="000000"/>
          <w:lang w:bidi="th-TH"/>
        </w:rPr>
        <w:t xml:space="preserve"> “multiple employer welfare arrangement” (MEWA).</w:t>
      </w:r>
      <w:r w:rsidRPr="005B5B4A">
        <w:rPr>
          <w:rStyle w:val="FootnoteReference"/>
          <w:rFonts w:eastAsia="Times New Roman"/>
          <w:color w:val="000000"/>
          <w:lang w:bidi="th-TH"/>
        </w:rPr>
        <w:footnoteReference w:id="39"/>
      </w:r>
      <w:r w:rsidRPr="005B5B4A">
        <w:rPr>
          <w:rFonts w:eastAsia="Times New Roman"/>
          <w:color w:val="000000"/>
          <w:lang w:bidi="th-TH"/>
        </w:rPr>
        <w:t xml:space="preserve">  In the case of a self-insured MEWA, </w:t>
      </w:r>
      <w:r w:rsidRPr="005B5B4A">
        <w:rPr>
          <w:color w:val="000000"/>
          <w:lang w:val="en"/>
        </w:rPr>
        <w:t>Congress specifically amended ERISA’s preemption provision to give States the explicit authority to regulate self-insured MEWAs operating within the State.</w:t>
      </w:r>
      <w:r w:rsidRPr="005B5B4A">
        <w:rPr>
          <w:rStyle w:val="FootnoteReference"/>
          <w:color w:val="000000"/>
          <w:lang w:val="en"/>
        </w:rPr>
        <w:footnoteReference w:id="40"/>
      </w:r>
      <w:r w:rsidR="009B29F6">
        <w:rPr>
          <w:color w:val="000000"/>
          <w:lang w:val="en"/>
        </w:rPr>
        <w:t xml:space="preserve">  </w:t>
      </w:r>
      <w:r w:rsidRPr="005B5B4A">
        <w:rPr>
          <w:color w:val="000000"/>
          <w:lang w:val="en"/>
        </w:rPr>
        <w:t xml:space="preserve">Since that time, many States have enacted their own State MEWA laws with varying degrees of regulation – ranging from restrictive to permissive.  These laws </w:t>
      </w:r>
      <w:proofErr w:type="gramStart"/>
      <w:r w:rsidRPr="005B5B4A">
        <w:rPr>
          <w:color w:val="000000"/>
          <w:lang w:val="en"/>
        </w:rPr>
        <w:t>often times</w:t>
      </w:r>
      <w:proofErr w:type="gramEnd"/>
      <w:r w:rsidRPr="005B5B4A">
        <w:rPr>
          <w:color w:val="000000"/>
          <w:lang w:val="en"/>
        </w:rPr>
        <w:t xml:space="preserve"> impose specific coverage and/or premium rating requirements on self-insured MEWAs.  In addition, State MEWA laws typically impose the same solvency – or reserve – requirements that apply to insurance companies operating within the State.  Other States outright prohibit self-insured MEWAs.</w:t>
      </w:r>
      <w:r w:rsidRPr="005B5B4A">
        <w:rPr>
          <w:rFonts w:eastAsia="Times New Roman"/>
          <w:color w:val="000000"/>
          <w:lang w:bidi="th-TH"/>
        </w:rPr>
        <w:t xml:space="preserve">  </w:t>
      </w:r>
      <w:r w:rsidRPr="005B5B4A">
        <w:rPr>
          <w:rFonts w:eastAsia="Times New Roman"/>
        </w:rPr>
        <w:t>States that have yet to enact a State MEWA statute are not prohibited from doing so in the future.  In addition, States with existing State MEWA statutes are free to amend those statutes to impose specific coverage, rating, and/or solvency requirements on self-insured AHPs.</w:t>
      </w:r>
      <w:bookmarkEnd w:id="0"/>
    </w:p>
    <w:p w14:paraId="66862578" w14:textId="77777777" w:rsidR="00DA4D35" w:rsidRDefault="00DA4D35" w:rsidP="0082352F">
      <w:pPr>
        <w:ind w:firstLine="720"/>
        <w:rPr>
          <w:rFonts w:eastAsia="Times New Roman"/>
          <w:bCs/>
          <w:u w:val="single"/>
        </w:rPr>
      </w:pPr>
    </w:p>
    <w:p w14:paraId="6B9F95E3" w14:textId="77777777" w:rsidR="0082352F" w:rsidRPr="00F518BA" w:rsidRDefault="0082352F" w:rsidP="0082352F">
      <w:pPr>
        <w:pStyle w:val="ListParagraph"/>
        <w:numPr>
          <w:ilvl w:val="0"/>
          <w:numId w:val="5"/>
        </w:numPr>
        <w:spacing w:after="0" w:line="240" w:lineRule="auto"/>
        <w:rPr>
          <w:rFonts w:ascii="Times New Roman" w:hAnsi="Times New Roman" w:cs="Times New Roman"/>
          <w:bCs/>
          <w:sz w:val="24"/>
          <w:szCs w:val="24"/>
          <w:u w:val="single"/>
        </w:rPr>
      </w:pPr>
      <w:r w:rsidRPr="00F518BA">
        <w:rPr>
          <w:rFonts w:ascii="Times New Roman" w:hAnsi="Times New Roman" w:cs="Times New Roman"/>
          <w:bCs/>
          <w:sz w:val="24"/>
          <w:szCs w:val="24"/>
          <w:u w:val="single"/>
        </w:rPr>
        <w:t xml:space="preserve">A Regulatory Framework Has Been Put </w:t>
      </w:r>
      <w:proofErr w:type="gramStart"/>
      <w:r w:rsidRPr="00F518BA">
        <w:rPr>
          <w:rFonts w:ascii="Times New Roman" w:hAnsi="Times New Roman" w:cs="Times New Roman"/>
          <w:bCs/>
          <w:sz w:val="24"/>
          <w:szCs w:val="24"/>
          <w:u w:val="single"/>
        </w:rPr>
        <w:t>In</w:t>
      </w:r>
      <w:proofErr w:type="gramEnd"/>
      <w:r w:rsidRPr="00F518BA">
        <w:rPr>
          <w:rFonts w:ascii="Times New Roman" w:hAnsi="Times New Roman" w:cs="Times New Roman"/>
          <w:bCs/>
          <w:sz w:val="24"/>
          <w:szCs w:val="24"/>
          <w:u w:val="single"/>
        </w:rPr>
        <w:t xml:space="preserve"> Place Over Time to Combat Fraud and Abuse; Our Coalition Pledges to Work With the NAIC and Congress to Fight Against Fraud and Abuse</w:t>
      </w:r>
    </w:p>
    <w:p w14:paraId="644626F0" w14:textId="77777777" w:rsidR="0082352F" w:rsidRPr="00F518BA" w:rsidRDefault="0082352F" w:rsidP="0082352F">
      <w:pPr>
        <w:rPr>
          <w:bCs/>
          <w:u w:val="single"/>
        </w:rPr>
      </w:pPr>
    </w:p>
    <w:p w14:paraId="7250C097" w14:textId="77777777" w:rsidR="0082352F" w:rsidRDefault="0082352F" w:rsidP="0082352F">
      <w:pPr>
        <w:ind w:firstLine="720"/>
      </w:pPr>
      <w:r>
        <w:t xml:space="preserve">It is important to point out that an AHP can take the form of either a </w:t>
      </w:r>
      <w:proofErr w:type="gramStart"/>
      <w:r>
        <w:t>fully-insured</w:t>
      </w:r>
      <w:proofErr w:type="gramEnd"/>
      <w:r>
        <w:t xml:space="preserve"> or a self-insured arrangement.  This is a crucial distinction when it comes to the issue of fraud and abuse.  For example, </w:t>
      </w:r>
      <w:proofErr w:type="gramStart"/>
      <w:r>
        <w:t>fully-insured</w:t>
      </w:r>
      <w:proofErr w:type="gramEnd"/>
      <w:r>
        <w:t xml:space="preserve"> AHPs are under-written by insurance companies, which are themselves subject to significant State regulation.  </w:t>
      </w:r>
      <w:r w:rsidRPr="004A0CB7">
        <w:t>In addition, States impose specific requirements on agents and brokers who sell insurance, imposing significant penalties on agents/brokers that engage in the fraudulent sale of insurance products</w:t>
      </w:r>
      <w:r>
        <w:t xml:space="preserve">.  As result, there have been very few cases of fraud and abuse in </w:t>
      </w:r>
      <w:proofErr w:type="gramStart"/>
      <w:r>
        <w:t>fully-insured</w:t>
      </w:r>
      <w:proofErr w:type="gramEnd"/>
      <w:r>
        <w:t xml:space="preserve"> AHPs.  And b</w:t>
      </w:r>
      <w:r w:rsidRPr="004A0CB7">
        <w:t xml:space="preserve">ased on the current regulatory environment, it is unlikely that any fraud will occur in the context of </w:t>
      </w:r>
      <w:proofErr w:type="gramStart"/>
      <w:r w:rsidRPr="004A0CB7">
        <w:t>fully-insured</w:t>
      </w:r>
      <w:proofErr w:type="gramEnd"/>
      <w:r w:rsidRPr="004A0CB7">
        <w:t xml:space="preserve"> AHPs</w:t>
      </w:r>
      <w:r>
        <w:t xml:space="preserve"> in the future</w:t>
      </w:r>
      <w:r w:rsidRPr="004A0CB7">
        <w:t xml:space="preserve">.  </w:t>
      </w:r>
    </w:p>
    <w:p w14:paraId="1EF96747" w14:textId="77777777" w:rsidR="0082352F" w:rsidRDefault="0082352F" w:rsidP="0082352F">
      <w:pPr>
        <w:ind w:firstLine="720"/>
      </w:pPr>
    </w:p>
    <w:p w14:paraId="60FBE389" w14:textId="77777777" w:rsidR="0082352F" w:rsidRDefault="0082352F" w:rsidP="0082352F">
      <w:pPr>
        <w:ind w:firstLine="720"/>
      </w:pPr>
      <w:r>
        <w:t xml:space="preserve">While self-insured AHPs have in the past been more vulnerable to fraud and abuse, this history prompted Congress to act.  Before 1983, self-insured AHPs resisted efforts at State regulation by arguing that such State regulation was pre-empted by ERISA.  However – as stated above – Congress amended ERISA to give States the exclusive authority to regulate self-insured AHPs in any manner the State may choose. </w:t>
      </w:r>
    </w:p>
    <w:p w14:paraId="3A54E951" w14:textId="77777777" w:rsidR="0082352F" w:rsidRDefault="0082352F" w:rsidP="0082352F">
      <w:pPr>
        <w:ind w:firstLine="720"/>
      </w:pPr>
    </w:p>
    <w:p w14:paraId="6687AD81" w14:textId="191782F9" w:rsidR="0082352F" w:rsidRDefault="0082352F" w:rsidP="0082352F">
      <w:r>
        <w:tab/>
        <w:t xml:space="preserve">Therefore, since 1983, the States have been free to regulate self-insured AHPs as they see fit, and they have exercised that authority through the enactment of State MEWA laws.  </w:t>
      </w:r>
      <w:r w:rsidR="003856AA">
        <w:t>For example</w:t>
      </w:r>
      <w:r>
        <w:t>,</w:t>
      </w:r>
      <w:r w:rsidR="003E29AC">
        <w:t xml:space="preserve"> most </w:t>
      </w:r>
      <w:r>
        <w:t>States have enacted MEWA laws that set forth comprehensive certification and approval processes that an organization seeking to operate a self-insured AHP in the respective State must satisfy.  Any such certification/approval must come directly from the State’s Insurance Commissioner, and any such</w:t>
      </w:r>
      <w:r w:rsidRPr="00DC7F29">
        <w:t xml:space="preserve"> </w:t>
      </w:r>
      <w:r>
        <w:t xml:space="preserve">certification/approval will only be provided by the Commissioner if </w:t>
      </w:r>
      <w:proofErr w:type="gramStart"/>
      <w:r>
        <w:t>all of</w:t>
      </w:r>
      <w:proofErr w:type="gramEnd"/>
      <w:r>
        <w:t xml:space="preserve"> the State’s MEWA law requirements are satisfied.     </w:t>
      </w:r>
    </w:p>
    <w:p w14:paraId="7E1808F9" w14:textId="77777777" w:rsidR="0082352F" w:rsidRDefault="0082352F" w:rsidP="0082352F">
      <w:r>
        <w:t xml:space="preserve"> </w:t>
      </w:r>
    </w:p>
    <w:p w14:paraId="7B1D33DC" w14:textId="77777777" w:rsidR="0082352F" w:rsidRDefault="0082352F" w:rsidP="0082352F">
      <w:pPr>
        <w:ind w:firstLine="720"/>
      </w:pPr>
      <w:r>
        <w:lastRenderedPageBreak/>
        <w:t xml:space="preserve">More extensive oversight has also come at the Federal level through the enactment of the ACA.  Specifically, Congress expanded and strengthened the DOL’s authority over MEWAs – and thus over AHPs – through a multi-pronged approach to eliminate MEWA/AHP abuses.  These new requirements include improvements in reporting, together with stronger enforcement tools, and expanded required registration with the DOL prior to operating in a State.  This additional information enhances the State and Federal governments’ joint mission to prevent harm and take enforcement action.  The ACA also strengthened enforcement by giving the Secretary of Labor the authority to issue a </w:t>
      </w:r>
      <w:proofErr w:type="gramStart"/>
      <w:r>
        <w:t>cease and desist</w:t>
      </w:r>
      <w:proofErr w:type="gramEnd"/>
      <w:r>
        <w:t xml:space="preserve"> order when a MEWA/AHP engages in fraudulent or other abusive conduct, and to issue a summary seizure order when a MEWA/AHP is in a financially hazardous condition.</w:t>
      </w:r>
    </w:p>
    <w:p w14:paraId="2A5B856B" w14:textId="77777777" w:rsidR="0082352F" w:rsidRDefault="0082352F" w:rsidP="0082352F"/>
    <w:p w14:paraId="6EC24C47" w14:textId="1905D8DB" w:rsidR="006C435F" w:rsidRDefault="0082352F" w:rsidP="00D916F2">
      <w:pPr>
        <w:ind w:firstLine="720"/>
      </w:pPr>
      <w:r>
        <w:t xml:space="preserve">This detailed State and Federal regulatory framework – which was not in place at all prior to 1983, and which has been built up over the years – provides safeguards that will largely prevent fraud and abuse, and, where such misconduct does occur, will significantly mitigate its effects.  </w:t>
      </w:r>
      <w:r w:rsidR="00855213">
        <w:t>Our</w:t>
      </w:r>
      <w:r>
        <w:t xml:space="preserve"> Coalition has also pledged to the National Association of Insurance Commissioners (NAIC) that we are ready, willing, and able to work with the State Insurance Commissioners to build on the current regulatory framework.  In addition, </w:t>
      </w:r>
      <w:r w:rsidR="00855213">
        <w:t>our</w:t>
      </w:r>
      <w:r>
        <w:t xml:space="preserve"> Coalition seeks to work with members of Congress to provide additional funding for the DOL’s enforcement activities – as established under the ACA – as well as to fund State enforcement efforts.</w:t>
      </w:r>
    </w:p>
    <w:p w14:paraId="0E7D2FCD" w14:textId="77777777" w:rsidR="006C435F" w:rsidRDefault="006C435F" w:rsidP="0082352F">
      <w:pPr>
        <w:ind w:firstLine="720"/>
      </w:pPr>
    </w:p>
    <w:p w14:paraId="63B61FD2" w14:textId="1F5B792C" w:rsidR="006C435F" w:rsidRPr="006C435F" w:rsidRDefault="009743A1" w:rsidP="006C435F">
      <w:pPr>
        <w:rPr>
          <w:b/>
        </w:rPr>
      </w:pPr>
      <w:r>
        <w:rPr>
          <w:b/>
          <w:bCs/>
        </w:rPr>
        <w:t>V</w:t>
      </w:r>
      <w:r w:rsidR="006C435F" w:rsidRPr="006C435F">
        <w:rPr>
          <w:b/>
          <w:bCs/>
        </w:rPr>
        <w:t xml:space="preserve">II. </w:t>
      </w:r>
      <w:r w:rsidR="006C435F" w:rsidRPr="006C435F">
        <w:rPr>
          <w:b/>
          <w:bCs/>
        </w:rPr>
        <w:tab/>
      </w:r>
      <w:r w:rsidR="006C435F" w:rsidRPr="006C435F">
        <w:rPr>
          <w:b/>
        </w:rPr>
        <w:t xml:space="preserve">AHPs Will Not Segment the Markets </w:t>
      </w:r>
    </w:p>
    <w:p w14:paraId="5CEF9919" w14:textId="77777777" w:rsidR="006C435F" w:rsidRPr="00F34D30" w:rsidRDefault="006C435F" w:rsidP="006C435F">
      <w:pPr>
        <w:pStyle w:val="ListParagraph"/>
        <w:spacing w:after="0" w:line="240" w:lineRule="auto"/>
        <w:rPr>
          <w:rFonts w:ascii="Times New Roman" w:hAnsi="Times New Roman" w:cs="Times New Roman"/>
          <w:b/>
          <w:sz w:val="24"/>
          <w:szCs w:val="24"/>
        </w:rPr>
      </w:pPr>
    </w:p>
    <w:p w14:paraId="6ED13DCE" w14:textId="77777777" w:rsidR="006C435F" w:rsidRDefault="006C435F" w:rsidP="006C435F">
      <w:pPr>
        <w:ind w:firstLine="720"/>
      </w:pPr>
      <w:r>
        <w:t xml:space="preserve">Critics of AHPs argue that these arrangements will </w:t>
      </w:r>
      <w:r w:rsidRPr="00A61068">
        <w:t>destabilize</w:t>
      </w:r>
      <w:r>
        <w:t xml:space="preserve"> the</w:t>
      </w:r>
      <w:r w:rsidRPr="00A61068">
        <w:t xml:space="preserve"> </w:t>
      </w:r>
      <w:r>
        <w:t>“</w:t>
      </w:r>
      <w:r w:rsidRPr="00A61068">
        <w:t>individual</w:t>
      </w:r>
      <w:r>
        <w:t>”</w:t>
      </w:r>
      <w:r w:rsidRPr="00A61068">
        <w:t xml:space="preserve"> and </w:t>
      </w:r>
      <w:r>
        <w:t>“</w:t>
      </w:r>
      <w:r w:rsidRPr="00A61068">
        <w:t>small group</w:t>
      </w:r>
      <w:r>
        <w:t>”</w:t>
      </w:r>
      <w:r w:rsidRPr="00A61068">
        <w:t xml:space="preserve"> market</w:t>
      </w:r>
      <w:r>
        <w:t xml:space="preserve">s.  Our Coalition believes that these claims are </w:t>
      </w:r>
      <w:proofErr w:type="gramStart"/>
      <w:r>
        <w:t>over-stated</w:t>
      </w:r>
      <w:proofErr w:type="gramEnd"/>
      <w:r>
        <w:t xml:space="preserve">.  For example, critics have overlooked the fact that AHPs are offering comprehensive coverage at a lower cost relative to the “individual” and “small group” market plans (as described above).  </w:t>
      </w:r>
    </w:p>
    <w:p w14:paraId="6C3CECFD" w14:textId="77777777" w:rsidR="006C435F" w:rsidRDefault="006C435F" w:rsidP="006C435F">
      <w:pPr>
        <w:ind w:firstLine="720"/>
      </w:pPr>
    </w:p>
    <w:p w14:paraId="785C8823" w14:textId="77777777" w:rsidR="006C435F" w:rsidRDefault="006C435F" w:rsidP="006C435F">
      <w:pPr>
        <w:ind w:firstLine="720"/>
      </w:pPr>
      <w:r>
        <w:t xml:space="preserve">In our experience, employees and individuals shop for health insurance based on price, as well as the comprehensiveness of the health coverage.  The health status of a particular employee or individual also drives their behavior.  In cases where an employee or individual is healthy, they will most likely gravitate toward health coverage with a lower cost.  If, however, an employee or individual is less healthy (and thus a “high-medical utilizer”), they are more likely to seek out comprehensive coverage, although price remains an important factor as well.  </w:t>
      </w:r>
    </w:p>
    <w:p w14:paraId="10DFAC04" w14:textId="77777777" w:rsidR="006C435F" w:rsidRDefault="006C435F" w:rsidP="006C435F">
      <w:pPr>
        <w:ind w:firstLine="720"/>
      </w:pPr>
    </w:p>
    <w:p w14:paraId="6FD6CE52" w14:textId="77777777" w:rsidR="006C435F" w:rsidRDefault="006C435F" w:rsidP="006C435F">
      <w:pPr>
        <w:ind w:firstLine="720"/>
      </w:pPr>
      <w:r>
        <w:t xml:space="preserve">Critics, therefore, are wrong when they predict that AHPs will draw </w:t>
      </w:r>
      <w:r w:rsidRPr="00BE0C24">
        <w:rPr>
          <w:i/>
        </w:rPr>
        <w:t>only</w:t>
      </w:r>
      <w:r>
        <w:t xml:space="preserve"> healthy people out of the ACA markets.  More specifically, because AHP coverage is proving to be as comprehensive – if not more comprehensive – relative to existing “small group” or “individual” market coverage (while being offered at a more affordable price), </w:t>
      </w:r>
      <w:r w:rsidRPr="003A31FE">
        <w:rPr>
          <w:b/>
          <w:bCs/>
          <w:i/>
          <w:iCs/>
          <w:u w:val="single"/>
        </w:rPr>
        <w:t>both</w:t>
      </w:r>
      <w:r>
        <w:t xml:space="preserve"> healthy people </w:t>
      </w:r>
      <w:r w:rsidRPr="00A348D6">
        <w:rPr>
          <w:b/>
          <w:bCs/>
          <w:i/>
          <w:u w:val="single"/>
        </w:rPr>
        <w:t>and</w:t>
      </w:r>
      <w:r w:rsidRPr="00780494">
        <w:rPr>
          <w:b/>
          <w:bCs/>
        </w:rPr>
        <w:t xml:space="preserve"> </w:t>
      </w:r>
      <w:r>
        <w:t xml:space="preserve">less healthy/high-medical utilizers are going to be attracted to AHP coverage.  </w:t>
      </w:r>
    </w:p>
    <w:p w14:paraId="1EB61AD3" w14:textId="77777777" w:rsidR="006C435F" w:rsidRDefault="006C435F" w:rsidP="006C435F"/>
    <w:p w14:paraId="4B2FCE05" w14:textId="77777777" w:rsidR="006C435F" w:rsidRDefault="006C435F" w:rsidP="006C435F">
      <w:pPr>
        <w:ind w:firstLine="720"/>
      </w:pPr>
      <w:r>
        <w:t xml:space="preserve">Thus, </w:t>
      </w:r>
      <w:proofErr w:type="gramStart"/>
      <w:r>
        <w:t>due to the fact that</w:t>
      </w:r>
      <w:proofErr w:type="gramEnd"/>
      <w:r>
        <w:t xml:space="preserve"> less healthy/high-medical utilizers will exit the “small group” and “individual” markets to enroll in an AHP (because such plans offer comprehensive benefits at a lower cost), the availability of AHP coverage will actually </w:t>
      </w:r>
      <w:r w:rsidRPr="004B0230">
        <w:rPr>
          <w:i/>
        </w:rPr>
        <w:t>benefit</w:t>
      </w:r>
      <w:r>
        <w:t xml:space="preserve"> the “small group” and “individual” markets from a health risk perspective, drawing less healthy/high-medical utilizers out of the current risk pool.  At the very least, this beneficial effect should offset any “destabilizing” effect that could result </w:t>
      </w:r>
      <w:proofErr w:type="gramStart"/>
      <w:r>
        <w:t>if and when</w:t>
      </w:r>
      <w:proofErr w:type="gramEnd"/>
      <w:r>
        <w:t xml:space="preserve"> healthy employees and self-employed individuals also leave the “small group” and “individual” markets for superior AHP coverage.</w:t>
      </w:r>
    </w:p>
    <w:p w14:paraId="03FF6698" w14:textId="77777777" w:rsidR="006C435F" w:rsidRDefault="006C435F" w:rsidP="006C435F">
      <w:pPr>
        <w:ind w:firstLine="720"/>
      </w:pPr>
    </w:p>
    <w:p w14:paraId="28C318B0" w14:textId="77777777" w:rsidR="00B6208B" w:rsidRDefault="00B6208B" w:rsidP="00D75EB5">
      <w:pPr>
        <w:ind w:firstLine="720"/>
      </w:pPr>
    </w:p>
    <w:p w14:paraId="386AE325" w14:textId="77777777" w:rsidR="00B6208B" w:rsidRDefault="00B6208B" w:rsidP="00D75EB5">
      <w:pPr>
        <w:ind w:firstLine="720"/>
      </w:pPr>
    </w:p>
    <w:p w14:paraId="780F8159" w14:textId="63221F5F" w:rsidR="006C435F" w:rsidRDefault="006C435F" w:rsidP="00D75EB5">
      <w:pPr>
        <w:ind w:firstLine="720"/>
      </w:pPr>
      <w:r>
        <w:t xml:space="preserve">In addition, predictions of market destabilization are not just speculative, </w:t>
      </w:r>
      <w:r w:rsidR="00222D70">
        <w:t>they are also</w:t>
      </w:r>
      <w:r>
        <w:t xml:space="preserve"> incomplete because they fail to account for</w:t>
      </w:r>
      <w:r w:rsidR="00B9209D">
        <w:t xml:space="preserve"> </w:t>
      </w:r>
      <w:r w:rsidR="006D7603">
        <w:t xml:space="preserve">the </w:t>
      </w:r>
      <w:r w:rsidR="00D75EB5">
        <w:t xml:space="preserve">number of individuals </w:t>
      </w:r>
      <w:r>
        <w:t xml:space="preserve">who are currently </w:t>
      </w:r>
      <w:r w:rsidRPr="00CD5982">
        <w:rPr>
          <w:i/>
        </w:rPr>
        <w:t xml:space="preserve">not </w:t>
      </w:r>
      <w:r>
        <w:t>covered by any form or health insurance.  If</w:t>
      </w:r>
      <w:r w:rsidR="006D7603">
        <w:t>, for example,</w:t>
      </w:r>
      <w:r>
        <w:t xml:space="preserve"> the</w:t>
      </w:r>
      <w:r w:rsidR="00D75EB5">
        <w:t>se</w:t>
      </w:r>
      <w:r>
        <w:t xml:space="preserve"> </w:t>
      </w:r>
      <w:r w:rsidR="00291BBD">
        <w:t xml:space="preserve">uninsured </w:t>
      </w:r>
      <w:r w:rsidR="006D7603">
        <w:t xml:space="preserve">individuals enroll in an AHP, </w:t>
      </w:r>
      <w:r w:rsidR="00F618B1">
        <w:t xml:space="preserve">the current ACA insurance markets </w:t>
      </w:r>
      <w:r>
        <w:t xml:space="preserve">will </w:t>
      </w:r>
      <w:r w:rsidRPr="00144074">
        <w:rPr>
          <w:i/>
        </w:rPr>
        <w:t>not</w:t>
      </w:r>
      <w:r>
        <w:t xml:space="preserve"> be affected because these “lives” were never in </w:t>
      </w:r>
      <w:r w:rsidR="00F618B1">
        <w:t>the risk pool</w:t>
      </w:r>
      <w:r>
        <w:t xml:space="preserve"> in the first place.</w:t>
      </w:r>
    </w:p>
    <w:p w14:paraId="05E23304" w14:textId="77777777" w:rsidR="006C435F" w:rsidRDefault="006C435F" w:rsidP="006C435F">
      <w:pPr>
        <w:ind w:firstLine="720"/>
      </w:pPr>
    </w:p>
    <w:p w14:paraId="3FB1B28F" w14:textId="1B60F9C7" w:rsidR="00423A15" w:rsidRDefault="001D4266" w:rsidP="005F5C4C">
      <w:pPr>
        <w:ind w:firstLine="720"/>
      </w:pPr>
      <w:r>
        <w:t xml:space="preserve">By way of example, </w:t>
      </w:r>
      <w:r w:rsidR="00E44B1E">
        <w:t>s</w:t>
      </w:r>
      <w:r w:rsidR="00E44B1E">
        <w:t>ince</w:t>
      </w:r>
      <w:r w:rsidR="00E44B1E" w:rsidRPr="003513E4">
        <w:t xml:space="preserve"> the enactment of the </w:t>
      </w:r>
      <w:r w:rsidR="00E44B1E">
        <w:t>ACA</w:t>
      </w:r>
      <w:r w:rsidR="00E44B1E" w:rsidRPr="003513E4">
        <w:t xml:space="preserve">, health coverage offered by small employers with fewer than 50 employees has declined by </w:t>
      </w:r>
      <w:r w:rsidR="00E44B1E">
        <w:t>roughly</w:t>
      </w:r>
      <w:r w:rsidR="00E44B1E" w:rsidRPr="003513E4">
        <w:t xml:space="preserve"> 20</w:t>
      </w:r>
      <w:r w:rsidR="00E44B1E">
        <w:t xml:space="preserve"> percent.</w:t>
      </w:r>
      <w:r w:rsidR="00E44B1E">
        <w:rPr>
          <w:rStyle w:val="FootnoteReference"/>
        </w:rPr>
        <w:footnoteReference w:id="41"/>
      </w:r>
      <w:r w:rsidR="00E44B1E">
        <w:t xml:space="preserve">  </w:t>
      </w:r>
      <w:r w:rsidR="00E44B1E" w:rsidRPr="003513E4">
        <w:t>Only about 50</w:t>
      </w:r>
      <w:r w:rsidR="00E44B1E">
        <w:t xml:space="preserve"> percent</w:t>
      </w:r>
      <w:r w:rsidR="00E44B1E" w:rsidRPr="003513E4">
        <w:t xml:space="preserve"> of small employers with fewer than 50 employees actually offer health coverage</w:t>
      </w:r>
      <w:r w:rsidR="00A968E2">
        <w:t xml:space="preserve"> today</w:t>
      </w:r>
      <w:r w:rsidR="00E44B1E" w:rsidRPr="003513E4">
        <w:t>, as compared to 9</w:t>
      </w:r>
      <w:r w:rsidR="00E44B1E">
        <w:t>9 percent</w:t>
      </w:r>
      <w:r w:rsidR="00E44B1E" w:rsidRPr="003513E4">
        <w:t xml:space="preserve"> of large employers.</w:t>
      </w:r>
      <w:r w:rsidR="00E44B1E">
        <w:rPr>
          <w:rStyle w:val="FootnoteReference"/>
        </w:rPr>
        <w:footnoteReference w:id="42"/>
      </w:r>
      <w:r w:rsidR="00E44B1E" w:rsidRPr="003513E4">
        <w:t xml:space="preserve">  </w:t>
      </w:r>
      <w:r w:rsidR="00E86EAD">
        <w:t>I</w:t>
      </w:r>
      <w:r w:rsidR="00352EDE">
        <w:t xml:space="preserve">f </w:t>
      </w:r>
      <w:r w:rsidR="007B1867">
        <w:t>s</w:t>
      </w:r>
      <w:r w:rsidR="000D1B02">
        <w:t xml:space="preserve">mall employers who are </w:t>
      </w:r>
      <w:r w:rsidR="00ED30FA">
        <w:t xml:space="preserve">not currently offering health insurance coverage to their employees </w:t>
      </w:r>
      <w:r w:rsidR="007B1867">
        <w:t>are</w:t>
      </w:r>
      <w:r w:rsidR="000D1B02">
        <w:t xml:space="preserve"> attracted to AHP</w:t>
      </w:r>
      <w:r w:rsidR="00C725D6">
        <w:t>s</w:t>
      </w:r>
      <w:r w:rsidR="000D1B02">
        <w:t xml:space="preserve"> </w:t>
      </w:r>
      <w:r w:rsidR="00832ECF">
        <w:t>(</w:t>
      </w:r>
      <w:r w:rsidR="007B1867">
        <w:t xml:space="preserve">because </w:t>
      </w:r>
      <w:r w:rsidR="00B6208B">
        <w:t>AHPs off</w:t>
      </w:r>
      <w:r w:rsidR="000D1B02">
        <w:t>er comprehensive coverage</w:t>
      </w:r>
      <w:r w:rsidR="00352EDE">
        <w:t xml:space="preserve"> at lower price</w:t>
      </w:r>
      <w:r w:rsidR="007F4D9B">
        <w:t>s</w:t>
      </w:r>
      <w:r w:rsidR="00832ECF">
        <w:t>)</w:t>
      </w:r>
      <w:r w:rsidR="007F4D9B">
        <w:t>, t</w:t>
      </w:r>
      <w:r w:rsidR="000D1B02">
        <w:t>heir enrollment in AHP</w:t>
      </w:r>
      <w:r w:rsidR="00294936">
        <w:t>s</w:t>
      </w:r>
      <w:r w:rsidR="000D1B02">
        <w:t xml:space="preserve"> will </w:t>
      </w:r>
      <w:r w:rsidR="000D1B02" w:rsidRPr="0032009D">
        <w:rPr>
          <w:b/>
          <w:bCs/>
          <w:i/>
          <w:iCs/>
          <w:u w:val="single"/>
        </w:rPr>
        <w:t>not</w:t>
      </w:r>
      <w:r w:rsidR="000D1B02">
        <w:t xml:space="preserve"> – by definition – impact the existing market</w:t>
      </w:r>
      <w:r w:rsidR="005F5C4C">
        <w:rPr>
          <w:rFonts w:eastAsia="Times New Roman"/>
          <w:shd w:val="clear" w:color="auto" w:fill="FFFFFF"/>
        </w:rPr>
        <w:t xml:space="preserve"> because </w:t>
      </w:r>
      <w:r w:rsidR="00294936">
        <w:t>the</w:t>
      </w:r>
      <w:r w:rsidR="00C725D6">
        <w:t xml:space="preserve"> employees of these small employers</w:t>
      </w:r>
      <w:r w:rsidR="00294936">
        <w:t xml:space="preserve"> are </w:t>
      </w:r>
      <w:r w:rsidR="00294936" w:rsidRPr="00D86E4C">
        <w:rPr>
          <w:i/>
          <w:iCs/>
        </w:rPr>
        <w:t>not</w:t>
      </w:r>
      <w:r w:rsidR="00294936" w:rsidRPr="00D86E4C">
        <w:t xml:space="preserve"> </w:t>
      </w:r>
      <w:r w:rsidR="00294936">
        <w:t>a part of the ACA’s market in the first place</w:t>
      </w:r>
      <w:r w:rsidR="00294936" w:rsidRPr="00A456CF">
        <w:rPr>
          <w:rFonts w:eastAsia="Times New Roman"/>
          <w:shd w:val="clear" w:color="auto" w:fill="FFFFFF"/>
        </w:rPr>
        <w:t>.</w:t>
      </w:r>
    </w:p>
    <w:sectPr w:rsidR="00423A15" w:rsidSect="00A17219">
      <w:footerReference w:type="default" r:id="rId8"/>
      <w:pgSz w:w="12240" w:h="15840"/>
      <w:pgMar w:top="1152" w:right="1152" w:bottom="720"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A8620" w14:textId="77777777" w:rsidR="00012103" w:rsidRDefault="00012103" w:rsidP="002E16E9">
      <w:r>
        <w:separator/>
      </w:r>
    </w:p>
  </w:endnote>
  <w:endnote w:type="continuationSeparator" w:id="0">
    <w:p w14:paraId="59751873" w14:textId="77777777" w:rsidR="00012103" w:rsidRDefault="00012103" w:rsidP="002E1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A07C2" w14:textId="73603355" w:rsidR="00F36F70" w:rsidRDefault="00F36F70">
    <w:pPr>
      <w:pStyle w:val="Footer"/>
      <w:jc w:val="center"/>
    </w:pPr>
  </w:p>
  <w:p w14:paraId="38E9362B" w14:textId="77777777" w:rsidR="002B4C73" w:rsidRDefault="002B4C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F3173" w14:textId="77777777" w:rsidR="00012103" w:rsidRDefault="00012103" w:rsidP="002E16E9">
      <w:r>
        <w:separator/>
      </w:r>
    </w:p>
  </w:footnote>
  <w:footnote w:type="continuationSeparator" w:id="0">
    <w:p w14:paraId="1437EADD" w14:textId="77777777" w:rsidR="00012103" w:rsidRDefault="00012103" w:rsidP="002E16E9">
      <w:r>
        <w:continuationSeparator/>
      </w:r>
    </w:p>
  </w:footnote>
  <w:footnote w:id="1">
    <w:p w14:paraId="0A94C7EC" w14:textId="77777777" w:rsidR="009F026D" w:rsidRPr="00DF266F" w:rsidRDefault="009F026D" w:rsidP="009F026D">
      <w:pPr>
        <w:pStyle w:val="FootnoteText"/>
        <w:rPr>
          <w:rFonts w:ascii="Times New Roman" w:hAnsi="Times New Roman" w:cs="Times New Roman"/>
        </w:rPr>
      </w:pPr>
      <w:r>
        <w:rPr>
          <w:rStyle w:val="FootnoteReference"/>
        </w:rPr>
        <w:footnoteRef/>
      </w:r>
      <w:r>
        <w:t xml:space="preserve"> </w:t>
      </w:r>
      <w:r w:rsidRPr="00DF266F">
        <w:rPr>
          <w:rFonts w:ascii="Times New Roman" w:hAnsi="Times New Roman" w:cs="Times New Roman"/>
        </w:rPr>
        <w:t>The AHP Coalition is currently comprised of 1</w:t>
      </w:r>
      <w:r>
        <w:rPr>
          <w:rFonts w:ascii="Times New Roman" w:hAnsi="Times New Roman" w:cs="Times New Roman"/>
        </w:rPr>
        <w:t>8</w:t>
      </w:r>
      <w:r w:rsidRPr="00DF266F">
        <w:rPr>
          <w:rFonts w:ascii="Times New Roman" w:hAnsi="Times New Roman" w:cs="Times New Roman"/>
        </w:rPr>
        <w:t xml:space="preserve"> like-minded organizations – including membership-based organizations and industry-service providers – that believe employees of small employers and self-employed individuals with no employees deserve quality and affordable health coverage with strong consumer protections.  Our members include:  American Farm Bureau Federation; American Society of Association Executives; Associated Employers Benefit &amp; Trust; </w:t>
      </w:r>
      <w:proofErr w:type="spellStart"/>
      <w:r w:rsidRPr="00DF266F">
        <w:rPr>
          <w:rFonts w:ascii="Times New Roman" w:hAnsi="Times New Roman" w:cs="Times New Roman"/>
        </w:rPr>
        <w:t>Consoliplex</w:t>
      </w:r>
      <w:proofErr w:type="spellEnd"/>
      <w:r w:rsidRPr="00DF266F">
        <w:rPr>
          <w:rFonts w:ascii="Times New Roman" w:hAnsi="Times New Roman" w:cs="Times New Roman"/>
        </w:rPr>
        <w:t xml:space="preserve">; Foundation for Government Accountability; Indiana Credit Union League; Manufacturer &amp; Business Association; Marsh McLennan; McDonald’s Licensees Health &amp; Welfare Trust; Mercer; Michigan Business and Professional Association; Michigan Dental Association; National Association of REALTORS®; National Restaurant Association; NFIB; Small Business Association of Michigan; </w:t>
      </w:r>
      <w:proofErr w:type="spellStart"/>
      <w:r w:rsidRPr="00DF266F">
        <w:rPr>
          <w:rFonts w:ascii="Times New Roman" w:hAnsi="Times New Roman" w:cs="Times New Roman"/>
        </w:rPr>
        <w:t>Tailorwell</w:t>
      </w:r>
      <w:proofErr w:type="spellEnd"/>
      <w:r w:rsidRPr="00DF266F">
        <w:rPr>
          <w:rFonts w:ascii="Times New Roman" w:hAnsi="Times New Roman" w:cs="Times New Roman"/>
        </w:rPr>
        <w:t xml:space="preserve">; </w:t>
      </w:r>
      <w:proofErr w:type="spellStart"/>
      <w:r w:rsidRPr="00DF266F">
        <w:rPr>
          <w:rFonts w:ascii="Times New Roman" w:hAnsi="Times New Roman" w:cs="Times New Roman"/>
        </w:rPr>
        <w:t>Vimly</w:t>
      </w:r>
      <w:proofErr w:type="spellEnd"/>
      <w:r w:rsidRPr="00DF266F">
        <w:rPr>
          <w:rFonts w:ascii="Times New Roman" w:hAnsi="Times New Roman" w:cs="Times New Roman"/>
        </w:rPr>
        <w:t xml:space="preserve"> Benefit Solutions.</w:t>
      </w:r>
    </w:p>
  </w:footnote>
  <w:footnote w:id="2">
    <w:p w14:paraId="4C839BAF" w14:textId="46C2B40F" w:rsidR="0082352F" w:rsidRPr="00C10B5E" w:rsidRDefault="0082352F" w:rsidP="0082352F">
      <w:pPr>
        <w:pStyle w:val="FootnoteText"/>
        <w:rPr>
          <w:rFonts w:ascii="Times New Roman" w:hAnsi="Times New Roman" w:cs="Times New Roman"/>
        </w:rPr>
      </w:pPr>
      <w:r w:rsidRPr="00C10B5E">
        <w:rPr>
          <w:rStyle w:val="FootnoteReference"/>
        </w:rPr>
        <w:footnoteRef/>
      </w:r>
      <w:r w:rsidRPr="00C10B5E">
        <w:t xml:space="preserve"> </w:t>
      </w:r>
      <w:r w:rsidRPr="00C10B5E">
        <w:rPr>
          <w:rFonts w:ascii="Times New Roman" w:hAnsi="Times New Roman" w:cs="Times New Roman"/>
          <w:i/>
          <w:iCs/>
        </w:rPr>
        <w:t xml:space="preserve">See </w:t>
      </w:r>
      <w:r w:rsidRPr="00C10B5E">
        <w:rPr>
          <w:rFonts w:ascii="Times New Roman" w:hAnsi="Times New Roman" w:cs="Times New Roman"/>
        </w:rPr>
        <w:t xml:space="preserve">Amicus Brief submitted by The Coalition to Protect and Promote Association Health Plans to the </w:t>
      </w:r>
      <w:r>
        <w:rPr>
          <w:rFonts w:ascii="Times New Roman" w:hAnsi="Times New Roman" w:cs="Times New Roman"/>
        </w:rPr>
        <w:t xml:space="preserve">Court of Appeals for the District of Columbia </w:t>
      </w:r>
      <w:r w:rsidRPr="00C10B5E">
        <w:rPr>
          <w:rFonts w:ascii="Times New Roman" w:hAnsi="Times New Roman" w:cs="Times New Roman"/>
        </w:rPr>
        <w:t xml:space="preserve">Circuit at </w:t>
      </w:r>
      <w:hyperlink r:id="rId1" w:history="1">
        <w:r w:rsidRPr="00C10B5E">
          <w:rPr>
            <w:rStyle w:val="Hyperlink"/>
            <w:rFonts w:ascii="Times New Roman" w:hAnsi="Times New Roman" w:cs="Times New Roman"/>
          </w:rPr>
          <w:t>https://www.thepowerofa.org/wp-content/uploads/2019/06/Amicus-Brief-The-Coalition-to-Protect-and-Promote-Association-Health-Plans-and-AssociationHealthPlans.com_.pdf</w:t>
        </w:r>
      </w:hyperlink>
      <w:r w:rsidRPr="00C10B5E">
        <w:rPr>
          <w:rStyle w:val="Hyperlink"/>
          <w:rFonts w:ascii="Times New Roman" w:hAnsi="Times New Roman" w:cs="Times New Roman"/>
        </w:rPr>
        <w:t>.</w:t>
      </w:r>
    </w:p>
  </w:footnote>
  <w:footnote w:id="3">
    <w:p w14:paraId="573FFD8B" w14:textId="66EAB474" w:rsidR="001A50B6" w:rsidRDefault="001A50B6">
      <w:pPr>
        <w:pStyle w:val="FootnoteText"/>
      </w:pPr>
      <w:r>
        <w:rPr>
          <w:rStyle w:val="FootnoteReference"/>
        </w:rPr>
        <w:footnoteRef/>
      </w:r>
      <w:r>
        <w:t xml:space="preserve"> </w:t>
      </w:r>
      <w:r w:rsidRPr="00BD17D6">
        <w:rPr>
          <w:rFonts w:ascii="Times New Roman" w:hAnsi="Times New Roman" w:cs="Times New Roman"/>
        </w:rPr>
        <w:t xml:space="preserve">These States </w:t>
      </w:r>
      <w:proofErr w:type="gramStart"/>
      <w:r w:rsidRPr="00BD17D6">
        <w:rPr>
          <w:rFonts w:ascii="Times New Roman" w:hAnsi="Times New Roman" w:cs="Times New Roman"/>
        </w:rPr>
        <w:t>include:</w:t>
      </w:r>
      <w:proofErr w:type="gramEnd"/>
      <w:r w:rsidRPr="00BD17D6">
        <w:rPr>
          <w:rFonts w:ascii="Times New Roman" w:hAnsi="Times New Roman" w:cs="Times New Roman"/>
        </w:rPr>
        <w:t xml:space="preserve"> </w:t>
      </w:r>
      <w:r>
        <w:t xml:space="preserve"> </w:t>
      </w:r>
      <w:r w:rsidR="00BD17D6" w:rsidRPr="00333BB9">
        <w:rPr>
          <w:rFonts w:ascii="Times New Roman" w:hAnsi="Times New Roman" w:cs="Times New Roman"/>
        </w:rPr>
        <w:t xml:space="preserve">AL, AK, AZ, AR, CO, FL, GA, HI, IL, IN, IA, KS, KY, LA, </w:t>
      </w:r>
      <w:r w:rsidR="00CB5550">
        <w:rPr>
          <w:rFonts w:ascii="Times New Roman" w:hAnsi="Times New Roman" w:cs="Times New Roman"/>
        </w:rPr>
        <w:t xml:space="preserve">ME, </w:t>
      </w:r>
      <w:r w:rsidR="00BD17D6" w:rsidRPr="00333BB9">
        <w:rPr>
          <w:rFonts w:ascii="Times New Roman" w:hAnsi="Times New Roman" w:cs="Times New Roman"/>
        </w:rPr>
        <w:t>MI, MN, MS, MO, MT, NE, NV, NC, ND, OH, OK, OR, SC, SD, TN, TX, UT, VA, WA, WV, WI, WY</w:t>
      </w:r>
      <w:r w:rsidR="00BD17D6">
        <w:rPr>
          <w:rFonts w:ascii="Times New Roman" w:hAnsi="Times New Roman" w:cs="Times New Roman"/>
        </w:rPr>
        <w:t>.</w:t>
      </w:r>
    </w:p>
  </w:footnote>
  <w:footnote w:id="4">
    <w:p w14:paraId="3C193C80" w14:textId="0285D694" w:rsidR="00A44B73" w:rsidRPr="00367753" w:rsidRDefault="00A44B73" w:rsidP="00A44B73">
      <w:pPr>
        <w:pStyle w:val="FootnoteText"/>
        <w:rPr>
          <w:rFonts w:ascii="Times New Roman" w:hAnsi="Times New Roman" w:cs="Times New Roman"/>
        </w:rPr>
      </w:pPr>
      <w:r>
        <w:rPr>
          <w:rStyle w:val="FootnoteReference"/>
        </w:rPr>
        <w:footnoteRef/>
      </w:r>
      <w:r w:rsidRPr="000F6325">
        <w:rPr>
          <w:rFonts w:ascii="Times New Roman" w:hAnsi="Times New Roman" w:cs="Times New Roman"/>
        </w:rPr>
        <w:t xml:space="preserve"> </w:t>
      </w:r>
      <w:r w:rsidRPr="00367753">
        <w:rPr>
          <w:rFonts w:ascii="Times New Roman" w:hAnsi="Times New Roman" w:cs="Times New Roman"/>
          <w:i/>
          <w:iCs/>
        </w:rPr>
        <w:t xml:space="preserve">See </w:t>
      </w:r>
      <w:r w:rsidR="00A41AF1" w:rsidRPr="00367753">
        <w:rPr>
          <w:rFonts w:ascii="Times New Roman" w:hAnsi="Times New Roman" w:cs="Times New Roman"/>
        </w:rPr>
        <w:t xml:space="preserve">Bloomberg Tax, Tax Management Compensation Planning Journal, </w:t>
      </w:r>
      <w:r w:rsidRPr="00367753">
        <w:rPr>
          <w:rFonts w:ascii="Times New Roman" w:hAnsi="Times New Roman" w:cs="Times New Roman"/>
          <w:i/>
          <w:iCs/>
        </w:rPr>
        <w:t>Association Health Plans (AHPs) and States’ Rights: An Accounting of How States Want to Regulate AHPs,</w:t>
      </w:r>
      <w:r w:rsidRPr="00367753">
        <w:rPr>
          <w:rFonts w:ascii="Times New Roman" w:hAnsi="Times New Roman" w:cs="Times New Roman"/>
        </w:rPr>
        <w:t xml:space="preserve"> Nov. 2019 at </w:t>
      </w:r>
      <w:hyperlink r:id="rId2" w:history="1">
        <w:r w:rsidRPr="00367753">
          <w:rPr>
            <w:rStyle w:val="Hyperlink"/>
            <w:rFonts w:ascii="Times New Roman" w:hAnsi="Times New Roman" w:cs="Times New Roman"/>
          </w:rPr>
          <w:t>https://www.thepowerofa.org/wp-content/uploads/2019/11/Condeluci_CPJ_Nov2019.pdf</w:t>
        </w:r>
      </w:hyperlink>
      <w:r w:rsidRPr="00367753">
        <w:rPr>
          <w:rFonts w:ascii="Times New Roman" w:hAnsi="Times New Roman" w:cs="Times New Roman"/>
        </w:rPr>
        <w:t>.</w:t>
      </w:r>
    </w:p>
  </w:footnote>
  <w:footnote w:id="5">
    <w:p w14:paraId="68AC33BE" w14:textId="0FF521B8" w:rsidR="00766077" w:rsidRDefault="00766077">
      <w:pPr>
        <w:pStyle w:val="FootnoteText"/>
      </w:pPr>
      <w:r>
        <w:rPr>
          <w:rStyle w:val="FootnoteReference"/>
        </w:rPr>
        <w:footnoteRef/>
      </w:r>
      <w:r>
        <w:t xml:space="preserve"> </w:t>
      </w:r>
      <w:r w:rsidRPr="00766077">
        <w:rPr>
          <w:rFonts w:ascii="Times New Roman" w:hAnsi="Times New Roman" w:cs="Times New Roman"/>
        </w:rPr>
        <w:t xml:space="preserve">These States </w:t>
      </w:r>
      <w:proofErr w:type="gramStart"/>
      <w:r w:rsidRPr="00766077">
        <w:rPr>
          <w:rFonts w:ascii="Times New Roman" w:hAnsi="Times New Roman" w:cs="Times New Roman"/>
        </w:rPr>
        <w:t>include:</w:t>
      </w:r>
      <w:proofErr w:type="gramEnd"/>
      <w:r w:rsidRPr="00766077">
        <w:rPr>
          <w:rFonts w:ascii="Times New Roman" w:hAnsi="Times New Roman" w:cs="Times New Roman"/>
        </w:rPr>
        <w:t xml:space="preserve">  CA, CT, DE, ID, MD, MA, NH, NJ, NM, NY, PA, RI, VT.</w:t>
      </w:r>
    </w:p>
  </w:footnote>
  <w:footnote w:id="6">
    <w:p w14:paraId="1DE22CA2" w14:textId="5031742D" w:rsidR="001E04DE" w:rsidRDefault="001E04DE">
      <w:pPr>
        <w:pStyle w:val="FootnoteText"/>
      </w:pPr>
      <w:r>
        <w:rPr>
          <w:rStyle w:val="FootnoteReference"/>
        </w:rPr>
        <w:footnoteRef/>
      </w:r>
      <w:r>
        <w:t xml:space="preserve"> </w:t>
      </w:r>
      <w:r w:rsidRPr="00A44B73">
        <w:rPr>
          <w:rFonts w:ascii="Times New Roman" w:hAnsi="Times New Roman" w:cs="Times New Roman"/>
        </w:rPr>
        <w:t xml:space="preserve">For example, CA and WA </w:t>
      </w:r>
      <w:r w:rsidR="00A44B73" w:rsidRPr="00A44B73">
        <w:rPr>
          <w:rFonts w:ascii="Times New Roman" w:hAnsi="Times New Roman" w:cs="Times New Roman"/>
        </w:rPr>
        <w:t>refuse to grant a self-insured AHP a “license” to operate in their States.</w:t>
      </w:r>
    </w:p>
  </w:footnote>
  <w:footnote w:id="7">
    <w:p w14:paraId="21863CE3" w14:textId="2E57C934" w:rsidR="00B061C0" w:rsidRPr="006360E3" w:rsidRDefault="00B061C0" w:rsidP="00B061C0">
      <w:pPr>
        <w:pStyle w:val="FootnoteText"/>
        <w:rPr>
          <w:rFonts w:ascii="Times New Roman" w:hAnsi="Times New Roman" w:cs="Times New Roman"/>
        </w:rPr>
      </w:pPr>
      <w:r w:rsidRPr="006360E3">
        <w:rPr>
          <w:rStyle w:val="FootnoteReference"/>
          <w:rFonts w:cs="Times New Roman"/>
        </w:rPr>
        <w:footnoteRef/>
      </w:r>
      <w:r w:rsidRPr="006360E3">
        <w:rPr>
          <w:rFonts w:ascii="Times New Roman" w:hAnsi="Times New Roman" w:cs="Times New Roman"/>
        </w:rPr>
        <w:t xml:space="preserve"> </w:t>
      </w:r>
      <w:r w:rsidR="009F3F7A" w:rsidRPr="00955E78">
        <w:rPr>
          <w:rFonts w:ascii="Times New Roman" w:hAnsi="Times New Roman" w:cs="Times New Roman"/>
          <w:i/>
          <w:iCs/>
        </w:rPr>
        <w:t xml:space="preserve">See </w:t>
      </w:r>
      <w:r w:rsidR="00955E78" w:rsidRPr="00955E78">
        <w:rPr>
          <w:rFonts w:ascii="Times New Roman" w:hAnsi="Times New Roman" w:cs="Times New Roman"/>
          <w:spacing w:val="9"/>
          <w:shd w:val="clear" w:color="auto" w:fill="FFFFFF"/>
        </w:rPr>
        <w:t xml:space="preserve">Small Business Trends, </w:t>
      </w:r>
      <w:r w:rsidR="009F3F7A" w:rsidRPr="00955E78">
        <w:rPr>
          <w:rFonts w:ascii="Times New Roman" w:hAnsi="Times New Roman" w:cs="Times New Roman"/>
          <w:i/>
          <w:iCs/>
          <w:spacing w:val="9"/>
          <w:shd w:val="clear" w:color="auto" w:fill="FFFFFF"/>
        </w:rPr>
        <w:t>Key Trends at Sole Proprietorships Over the Past 30 Years</w:t>
      </w:r>
      <w:r w:rsidR="009F3F7A" w:rsidRPr="00955E78">
        <w:rPr>
          <w:rFonts w:ascii="Times New Roman" w:hAnsi="Times New Roman" w:cs="Times New Roman"/>
          <w:spacing w:val="9"/>
          <w:shd w:val="clear" w:color="auto" w:fill="FFFFFF"/>
        </w:rPr>
        <w:t xml:space="preserve">, Dec. 4, 2015 at </w:t>
      </w:r>
      <w:hyperlink r:id="rId3" w:history="1">
        <w:r w:rsidR="009F3F7A" w:rsidRPr="00955E78">
          <w:rPr>
            <w:rStyle w:val="Hyperlink"/>
            <w:rFonts w:ascii="Times New Roman" w:hAnsi="Times New Roman" w:cs="Times New Roman"/>
          </w:rPr>
          <w:t>https://smallbiztrends.com/2014/09/key-trends-sole-proprietorships-past-30-years.html</w:t>
        </w:r>
      </w:hyperlink>
      <w:r w:rsidR="00955E78">
        <w:rPr>
          <w:rFonts w:ascii="Times New Roman" w:hAnsi="Times New Roman" w:cs="Times New Roman"/>
        </w:rPr>
        <w:t xml:space="preserve"> (r</w:t>
      </w:r>
      <w:r w:rsidRPr="006360E3">
        <w:rPr>
          <w:rFonts w:ascii="Times New Roman" w:hAnsi="Times New Roman" w:cs="Times New Roman"/>
        </w:rPr>
        <w:t>eporting that the Internal Revenue Service found that sole proprietorships nearly doubled from 1980, when there were 39.2 for every thousand Americans to 76.7 sole proprietors for every thousand Americans in 2007</w:t>
      </w:r>
      <w:r w:rsidR="00955E78">
        <w:rPr>
          <w:rFonts w:ascii="Times New Roman" w:hAnsi="Times New Roman" w:cs="Times New Roman"/>
        </w:rPr>
        <w:t>)</w:t>
      </w:r>
      <w:r w:rsidRPr="006360E3">
        <w:rPr>
          <w:rFonts w:ascii="Times New Roman" w:hAnsi="Times New Roman" w:cs="Times New Roman"/>
        </w:rPr>
        <w:t xml:space="preserve">.   </w:t>
      </w:r>
      <w:r w:rsidR="00955E78">
        <w:rPr>
          <w:rFonts w:ascii="Times New Roman" w:hAnsi="Times New Roman" w:cs="Times New Roman"/>
        </w:rPr>
        <w:t xml:space="preserve"> </w:t>
      </w:r>
    </w:p>
  </w:footnote>
  <w:footnote w:id="8">
    <w:p w14:paraId="7B226508" w14:textId="77777777" w:rsidR="0082352F" w:rsidRPr="00A84FD9" w:rsidRDefault="0082352F" w:rsidP="0082352F">
      <w:pPr>
        <w:pStyle w:val="FootnoteText"/>
        <w:rPr>
          <w:rFonts w:ascii="Times New Roman" w:hAnsi="Times New Roman" w:cs="Times New Roman"/>
        </w:rPr>
      </w:pPr>
      <w:r>
        <w:rPr>
          <w:rStyle w:val="FootnoteReference"/>
        </w:rPr>
        <w:footnoteRef/>
      </w:r>
      <w:r>
        <w:t xml:space="preserve"> </w:t>
      </w:r>
      <w:r w:rsidRPr="00A84FD9">
        <w:rPr>
          <w:rFonts w:ascii="Times New Roman" w:hAnsi="Times New Roman" w:cs="Times New Roman"/>
        </w:rPr>
        <w:t>Section 404(a)(1)(A) of the Employee Retirement Income Security Act (“ERISA”).</w:t>
      </w:r>
    </w:p>
  </w:footnote>
  <w:footnote w:id="9">
    <w:p w14:paraId="718ACFF3" w14:textId="77777777" w:rsidR="0082352F" w:rsidRPr="00A84FD9" w:rsidRDefault="0082352F" w:rsidP="0082352F">
      <w:pPr>
        <w:pStyle w:val="FootnoteText"/>
        <w:rPr>
          <w:rFonts w:ascii="Times New Roman" w:hAnsi="Times New Roman" w:cs="Times New Roman"/>
        </w:rPr>
      </w:pPr>
      <w:r w:rsidRPr="009C6D3D">
        <w:rPr>
          <w:rStyle w:val="FootnoteReference"/>
          <w:rFonts w:ascii="Times New Roman" w:hAnsi="Times New Roman" w:cs="Times New Roman"/>
        </w:rPr>
        <w:footnoteRef/>
      </w:r>
      <w:r w:rsidRPr="009C6D3D">
        <w:rPr>
          <w:rFonts w:ascii="Times New Roman" w:hAnsi="Times New Roman" w:cs="Times New Roman"/>
        </w:rPr>
        <w:t xml:space="preserve"> </w:t>
      </w:r>
      <w:r w:rsidRPr="00A84FD9">
        <w:rPr>
          <w:rFonts w:ascii="Times New Roman" w:hAnsi="Times New Roman" w:cs="Times New Roman"/>
        </w:rPr>
        <w:t xml:space="preserve">Industry studies confirm that ACA-compliant small group and individual market plans primarily have “narrow networks.”  </w:t>
      </w:r>
      <w:r w:rsidRPr="00A84FD9">
        <w:rPr>
          <w:rFonts w:ascii="Times New Roman" w:hAnsi="Times New Roman" w:cs="Times New Roman"/>
          <w:i/>
          <w:iCs/>
        </w:rPr>
        <w:t xml:space="preserve">See </w:t>
      </w:r>
      <w:hyperlink r:id="rId4" w:history="1">
        <w:r w:rsidRPr="00A84FD9">
          <w:rPr>
            <w:rStyle w:val="Hyperlink"/>
            <w:rFonts w:ascii="Times New Roman" w:hAnsi="Times New Roman" w:cs="Times New Roman"/>
            <w:i/>
            <w:iCs/>
          </w:rPr>
          <w:t>Plans with More Restrictive Networks Comprise 73% of Exchange Market</w:t>
        </w:r>
        <w:r w:rsidRPr="00A84FD9">
          <w:rPr>
            <w:rStyle w:val="Hyperlink"/>
            <w:rFonts w:ascii="Times New Roman" w:hAnsi="Times New Roman" w:cs="Times New Roman"/>
          </w:rPr>
          <w:t>, Avalere Health, Nov. 30, 2017</w:t>
        </w:r>
      </w:hyperlink>
      <w:r w:rsidRPr="00A84FD9">
        <w:rPr>
          <w:rFonts w:ascii="Times New Roman" w:hAnsi="Times New Roman" w:cs="Times New Roman"/>
        </w:rPr>
        <w:t xml:space="preserve">.  </w:t>
      </w:r>
    </w:p>
  </w:footnote>
  <w:footnote w:id="10">
    <w:p w14:paraId="75589AC8" w14:textId="15DB8DE5" w:rsidR="0082352F" w:rsidRPr="00C72CCC" w:rsidRDefault="0082352F" w:rsidP="0082352F">
      <w:pPr>
        <w:pStyle w:val="FootnoteText"/>
        <w:rPr>
          <w:rFonts w:ascii="Times New Roman" w:hAnsi="Times New Roman" w:cs="Times New Roman"/>
        </w:rPr>
      </w:pPr>
      <w:r w:rsidRPr="00A84FD9">
        <w:rPr>
          <w:rStyle w:val="FootnoteReference"/>
          <w:rFonts w:ascii="Times New Roman" w:hAnsi="Times New Roman" w:cs="Times New Roman"/>
        </w:rPr>
        <w:footnoteRef/>
      </w:r>
      <w:r w:rsidRPr="00A84FD9">
        <w:rPr>
          <w:rFonts w:ascii="Times New Roman" w:hAnsi="Times New Roman" w:cs="Times New Roman"/>
        </w:rPr>
        <w:t xml:space="preserve"> </w:t>
      </w:r>
      <w:r w:rsidR="00854768" w:rsidRPr="00C72CCC">
        <w:rPr>
          <w:rFonts w:ascii="Times New Roman" w:hAnsi="Times New Roman" w:cs="Times New Roman"/>
        </w:rPr>
        <w:t xml:space="preserve">Congressional Budget Office, </w:t>
      </w:r>
      <w:r w:rsidRPr="00A84FD9">
        <w:rPr>
          <w:rFonts w:ascii="Times New Roman" w:hAnsi="Times New Roman" w:cs="Times New Roman"/>
          <w:i/>
          <w:iCs/>
        </w:rPr>
        <w:t>A Public Option for Health Insurance in the Nongroup Marketplaces: Key Design Considerations and Implications</w:t>
      </w:r>
      <w:r w:rsidRPr="00A84FD9">
        <w:rPr>
          <w:rFonts w:ascii="Times New Roman" w:hAnsi="Times New Roman" w:cs="Times New Roman"/>
        </w:rPr>
        <w:t xml:space="preserve">, </w:t>
      </w:r>
      <w:r w:rsidRPr="00C72CCC">
        <w:rPr>
          <w:rFonts w:ascii="Times New Roman" w:hAnsi="Times New Roman" w:cs="Times New Roman"/>
        </w:rPr>
        <w:t xml:space="preserve">April 2021, page 7-8 at </w:t>
      </w:r>
      <w:hyperlink r:id="rId5" w:history="1">
        <w:r w:rsidRPr="00C72CCC">
          <w:rPr>
            <w:rStyle w:val="Hyperlink"/>
            <w:rFonts w:ascii="Times New Roman" w:hAnsi="Times New Roman" w:cs="Times New Roman"/>
          </w:rPr>
          <w:t>https://www.cbo.gov/system/files/2021-04/57020-Public-Option.pdf</w:t>
        </w:r>
      </w:hyperlink>
      <w:r w:rsidRPr="00C72CCC">
        <w:rPr>
          <w:rFonts w:ascii="Times New Roman" w:hAnsi="Times New Roman" w:cs="Times New Roman"/>
        </w:rPr>
        <w:t>.</w:t>
      </w:r>
    </w:p>
  </w:footnote>
  <w:footnote w:id="11">
    <w:p w14:paraId="7C8AE7DF" w14:textId="3CBD3581" w:rsidR="00FA05E1" w:rsidRDefault="00FA05E1">
      <w:pPr>
        <w:pStyle w:val="FootnoteText"/>
      </w:pPr>
      <w:r>
        <w:rPr>
          <w:rStyle w:val="FootnoteReference"/>
        </w:rPr>
        <w:footnoteRef/>
      </w:r>
      <w:r>
        <w:t xml:space="preserve"> </w:t>
      </w:r>
      <w:r w:rsidRPr="00F50B11">
        <w:rPr>
          <w:rFonts w:ascii="Times New Roman" w:hAnsi="Times New Roman" w:cs="Times New Roman"/>
          <w:i/>
          <w:iCs/>
        </w:rPr>
        <w:t>See</w:t>
      </w:r>
      <w:r w:rsidR="00A57B2E" w:rsidRPr="00F50B11">
        <w:rPr>
          <w:rFonts w:ascii="Times New Roman" w:hAnsi="Times New Roman" w:cs="Times New Roman"/>
        </w:rPr>
        <w:t xml:space="preserve"> </w:t>
      </w:r>
      <w:r w:rsidR="0095015E" w:rsidRPr="00F50B11">
        <w:rPr>
          <w:rFonts w:ascii="Times New Roman" w:hAnsi="Times New Roman" w:cs="Times New Roman"/>
        </w:rPr>
        <w:t>H</w:t>
      </w:r>
      <w:r w:rsidR="001B57EA" w:rsidRPr="00F50B11">
        <w:rPr>
          <w:rFonts w:ascii="Times New Roman" w:hAnsi="Times New Roman" w:cs="Times New Roman"/>
        </w:rPr>
        <w:t xml:space="preserve">ealthinsurance.org, </w:t>
      </w:r>
      <w:r w:rsidR="001B57EA" w:rsidRPr="00F50B11">
        <w:rPr>
          <w:rFonts w:ascii="Times New Roman" w:hAnsi="Times New Roman" w:cs="Times New Roman"/>
          <w:i/>
          <w:iCs/>
        </w:rPr>
        <w:t>What is a health insurance deducti</w:t>
      </w:r>
      <w:r w:rsidR="0095015E" w:rsidRPr="00F50B11">
        <w:rPr>
          <w:rFonts w:ascii="Times New Roman" w:hAnsi="Times New Roman" w:cs="Times New Roman"/>
          <w:i/>
          <w:iCs/>
        </w:rPr>
        <w:t>ble</w:t>
      </w:r>
      <w:r w:rsidR="00CF1BBC" w:rsidRPr="00F50B11">
        <w:rPr>
          <w:rFonts w:ascii="Times New Roman" w:hAnsi="Times New Roman" w:cs="Times New Roman"/>
        </w:rPr>
        <w:t xml:space="preserve"> at</w:t>
      </w:r>
      <w:r w:rsidR="0095015E" w:rsidRPr="00F50B11">
        <w:rPr>
          <w:rFonts w:ascii="Times New Roman" w:hAnsi="Times New Roman" w:cs="Times New Roman"/>
        </w:rPr>
        <w:t xml:space="preserve"> </w:t>
      </w:r>
      <w:hyperlink r:id="rId6" w:anchor=":~:text=KFF%20reported%20the%20average%202023,and%20%2445%20for%20Platinum%20plans." w:history="1">
        <w:r w:rsidR="0095015E" w:rsidRPr="00F50B11">
          <w:rPr>
            <w:rStyle w:val="Hyperlink"/>
            <w:rFonts w:ascii="Times New Roman" w:hAnsi="Times New Roman" w:cs="Times New Roman"/>
          </w:rPr>
          <w:t>https://www.healthinsurance.org/glossary/health-insurance-deductible/#:~:text=KFF%20reported%20the%20average%202023,and%20%2445%20for%20Platinum%20plans.</w:t>
        </w:r>
      </w:hyperlink>
      <w:r w:rsidR="00D1677C">
        <w:t xml:space="preserve"> </w:t>
      </w:r>
    </w:p>
  </w:footnote>
  <w:footnote w:id="12">
    <w:p w14:paraId="63DF6976" w14:textId="22DF40F7" w:rsidR="0082352F" w:rsidRPr="0026305E" w:rsidRDefault="0082352F" w:rsidP="0082352F">
      <w:pPr>
        <w:pStyle w:val="Heading2"/>
        <w:shd w:val="clear" w:color="auto" w:fill="FFFFFF"/>
        <w:spacing w:before="0"/>
        <w:textAlignment w:val="baseline"/>
        <w:rPr>
          <w:rFonts w:ascii="Times New Roman" w:hAnsi="Times New Roman" w:cs="Times New Roman"/>
          <w:color w:val="auto"/>
          <w:sz w:val="20"/>
          <w:szCs w:val="20"/>
        </w:rPr>
      </w:pPr>
      <w:r w:rsidRPr="00C72CCC">
        <w:rPr>
          <w:rStyle w:val="FootnoteReference"/>
          <w:rFonts w:ascii="Times New Roman" w:hAnsi="Times New Roman" w:cs="Times New Roman"/>
          <w:color w:val="auto"/>
          <w:sz w:val="20"/>
          <w:szCs w:val="20"/>
        </w:rPr>
        <w:footnoteRef/>
      </w:r>
      <w:r w:rsidRPr="00C72CCC">
        <w:rPr>
          <w:rFonts w:ascii="Times New Roman" w:hAnsi="Times New Roman" w:cs="Times New Roman"/>
          <w:color w:val="auto"/>
          <w:sz w:val="20"/>
          <w:szCs w:val="20"/>
        </w:rPr>
        <w:t xml:space="preserve"> As stated, an AHP is a “large group” employer plan.  Kaiser Family Foundation indicates that the average deductible for a single </w:t>
      </w:r>
      <w:r w:rsidR="004D38E9">
        <w:rPr>
          <w:rFonts w:ascii="Times New Roman" w:hAnsi="Times New Roman" w:cs="Times New Roman"/>
          <w:color w:val="auto"/>
          <w:sz w:val="20"/>
          <w:szCs w:val="20"/>
        </w:rPr>
        <w:t xml:space="preserve">“large” </w:t>
      </w:r>
      <w:r w:rsidRPr="00C72CCC">
        <w:rPr>
          <w:rFonts w:ascii="Times New Roman" w:hAnsi="Times New Roman" w:cs="Times New Roman"/>
          <w:color w:val="auto"/>
          <w:sz w:val="20"/>
          <w:szCs w:val="20"/>
        </w:rPr>
        <w:t>employer-sponsored plan was $1,</w:t>
      </w:r>
      <w:r w:rsidR="008128C1">
        <w:rPr>
          <w:rFonts w:ascii="Times New Roman" w:hAnsi="Times New Roman" w:cs="Times New Roman"/>
          <w:color w:val="auto"/>
          <w:sz w:val="20"/>
          <w:szCs w:val="20"/>
        </w:rPr>
        <w:t>493</w:t>
      </w:r>
      <w:r w:rsidRPr="00C72CCC">
        <w:rPr>
          <w:rFonts w:ascii="Times New Roman" w:hAnsi="Times New Roman" w:cs="Times New Roman"/>
          <w:color w:val="auto"/>
          <w:sz w:val="20"/>
          <w:szCs w:val="20"/>
        </w:rPr>
        <w:t xml:space="preserve"> in 202</w:t>
      </w:r>
      <w:r w:rsidR="000854C8">
        <w:rPr>
          <w:rFonts w:ascii="Times New Roman" w:hAnsi="Times New Roman" w:cs="Times New Roman"/>
          <w:color w:val="auto"/>
          <w:sz w:val="20"/>
          <w:szCs w:val="20"/>
        </w:rPr>
        <w:t>2</w:t>
      </w:r>
      <w:r>
        <w:rPr>
          <w:rFonts w:ascii="Times New Roman" w:hAnsi="Times New Roman" w:cs="Times New Roman"/>
          <w:color w:val="auto"/>
          <w:sz w:val="20"/>
          <w:szCs w:val="20"/>
        </w:rPr>
        <w:t>, which is consistent with our Coalition member’s AHPs</w:t>
      </w:r>
      <w:r w:rsidRPr="00C72CCC">
        <w:rPr>
          <w:rFonts w:ascii="Times New Roman" w:hAnsi="Times New Roman" w:cs="Times New Roman"/>
          <w:color w:val="auto"/>
          <w:sz w:val="20"/>
          <w:szCs w:val="20"/>
        </w:rPr>
        <w:t xml:space="preserve">.  </w:t>
      </w:r>
      <w:r w:rsidRPr="00C72CCC">
        <w:rPr>
          <w:rFonts w:ascii="Times New Roman" w:hAnsi="Times New Roman" w:cs="Times New Roman"/>
          <w:i/>
          <w:iCs/>
          <w:color w:val="auto"/>
          <w:sz w:val="20"/>
          <w:szCs w:val="20"/>
        </w:rPr>
        <w:t>See</w:t>
      </w:r>
      <w:r w:rsidRPr="00C72CCC">
        <w:rPr>
          <w:rFonts w:ascii="Times New Roman" w:hAnsi="Times New Roman" w:cs="Times New Roman"/>
          <w:color w:val="auto"/>
          <w:sz w:val="20"/>
          <w:szCs w:val="20"/>
        </w:rPr>
        <w:t xml:space="preserve"> </w:t>
      </w:r>
      <w:r w:rsidR="00B1022E">
        <w:rPr>
          <w:rFonts w:ascii="Times New Roman" w:hAnsi="Times New Roman" w:cs="Times New Roman"/>
          <w:color w:val="auto"/>
          <w:sz w:val="20"/>
          <w:szCs w:val="20"/>
        </w:rPr>
        <w:t xml:space="preserve">Kaiser Family Foundation, </w:t>
      </w:r>
      <w:r w:rsidR="00272B9E" w:rsidRPr="00B625A2">
        <w:rPr>
          <w:rFonts w:ascii="Times New Roman" w:hAnsi="Times New Roman" w:cs="Times New Roman"/>
          <w:i/>
          <w:iCs/>
          <w:color w:val="auto"/>
          <w:sz w:val="20"/>
          <w:szCs w:val="20"/>
        </w:rPr>
        <w:t xml:space="preserve">Employer Health Benefits </w:t>
      </w:r>
      <w:r w:rsidR="00B625A2">
        <w:rPr>
          <w:rFonts w:ascii="Times New Roman" w:hAnsi="Times New Roman" w:cs="Times New Roman"/>
          <w:i/>
          <w:iCs/>
          <w:color w:val="auto"/>
          <w:sz w:val="20"/>
          <w:szCs w:val="20"/>
        </w:rPr>
        <w:t xml:space="preserve">2022 </w:t>
      </w:r>
      <w:r w:rsidR="00272B9E" w:rsidRPr="00B625A2">
        <w:rPr>
          <w:rFonts w:ascii="Times New Roman" w:hAnsi="Times New Roman" w:cs="Times New Roman"/>
          <w:i/>
          <w:iCs/>
          <w:color w:val="auto"/>
          <w:sz w:val="20"/>
          <w:szCs w:val="20"/>
        </w:rPr>
        <w:t>Annual Survey</w:t>
      </w:r>
      <w:r w:rsidR="00272B9E">
        <w:rPr>
          <w:rFonts w:ascii="Times New Roman" w:hAnsi="Times New Roman" w:cs="Times New Roman"/>
          <w:color w:val="auto"/>
          <w:sz w:val="20"/>
          <w:szCs w:val="20"/>
        </w:rPr>
        <w:t xml:space="preserve"> at</w:t>
      </w:r>
      <w:r>
        <w:rPr>
          <w:rFonts w:ascii="Times New Roman" w:hAnsi="Times New Roman" w:cs="Times New Roman"/>
          <w:color w:val="auto"/>
          <w:sz w:val="20"/>
          <w:szCs w:val="20"/>
        </w:rPr>
        <w:t xml:space="preserve"> </w:t>
      </w:r>
      <w:hyperlink r:id="rId7" w:history="1">
        <w:r w:rsidR="00B1022E" w:rsidRPr="00292B9B">
          <w:rPr>
            <w:rStyle w:val="Hyperlink"/>
            <w:rFonts w:ascii="Times New Roman" w:hAnsi="Times New Roman" w:cs="Times New Roman"/>
            <w:sz w:val="20"/>
            <w:szCs w:val="20"/>
          </w:rPr>
          <w:t>https://files.kff.org/attachment/Report-Employer-Health-Benefits-2022-Annual-Survey.pdf</w:t>
        </w:r>
      </w:hyperlink>
      <w:r>
        <w:rPr>
          <w:rFonts w:ascii="Times New Roman" w:hAnsi="Times New Roman" w:cs="Times New Roman"/>
          <w:color w:val="auto"/>
          <w:sz w:val="20"/>
          <w:szCs w:val="20"/>
        </w:rPr>
        <w:t xml:space="preserve">. </w:t>
      </w:r>
      <w:r w:rsidR="00854768">
        <w:rPr>
          <w:rFonts w:ascii="Times New Roman" w:hAnsi="Times New Roman" w:cs="Times New Roman"/>
          <w:color w:val="auto"/>
          <w:sz w:val="20"/>
          <w:szCs w:val="20"/>
        </w:rPr>
        <w:t xml:space="preserve"> </w:t>
      </w:r>
    </w:p>
  </w:footnote>
  <w:footnote w:id="13">
    <w:p w14:paraId="0CDDCDEE" w14:textId="73766D2A" w:rsidR="0082352F" w:rsidRDefault="0082352F" w:rsidP="0082352F">
      <w:pPr>
        <w:pStyle w:val="FootnoteText"/>
      </w:pPr>
      <w:r>
        <w:rPr>
          <w:rStyle w:val="FootnoteReference"/>
        </w:rPr>
        <w:footnoteRef/>
      </w:r>
      <w:r>
        <w:t xml:space="preserve"> </w:t>
      </w:r>
      <w:r w:rsidR="004D649C" w:rsidRPr="0026305E">
        <w:rPr>
          <w:rFonts w:ascii="Times New Roman" w:hAnsi="Times New Roman" w:cs="Times New Roman"/>
        </w:rPr>
        <w:t xml:space="preserve">Congressional Budget Office, </w:t>
      </w:r>
      <w:r w:rsidRPr="0026305E">
        <w:rPr>
          <w:rFonts w:ascii="Times New Roman" w:hAnsi="Times New Roman" w:cs="Times New Roman"/>
          <w:i/>
          <w:iCs/>
        </w:rPr>
        <w:t xml:space="preserve">Private Health Insurance Premiums and Federal Policy, </w:t>
      </w:r>
      <w:r w:rsidRPr="0026305E">
        <w:rPr>
          <w:rFonts w:ascii="Times New Roman" w:hAnsi="Times New Roman" w:cs="Times New Roman"/>
        </w:rPr>
        <w:t xml:space="preserve">February 2016, page 22 at </w:t>
      </w:r>
      <w:hyperlink r:id="rId8" w:history="1">
        <w:r w:rsidRPr="0026305E">
          <w:rPr>
            <w:rStyle w:val="Hyperlink"/>
            <w:rFonts w:ascii="Times New Roman" w:hAnsi="Times New Roman" w:cs="Times New Roman"/>
          </w:rPr>
          <w:t>https://www.cbo.gov/sites/default/files/114th-congress-2015-2016/reports/51130-Health_Insurance_Premiums.pdf</w:t>
        </w:r>
      </w:hyperlink>
      <w:r w:rsidRPr="0026305E">
        <w:rPr>
          <w:rFonts w:ascii="Times New Roman" w:hAnsi="Times New Roman" w:cs="Times New Roman"/>
        </w:rPr>
        <w:t>.</w:t>
      </w:r>
      <w:r>
        <w:t xml:space="preserve"> </w:t>
      </w:r>
    </w:p>
  </w:footnote>
  <w:footnote w:id="14">
    <w:p w14:paraId="64C3E9ED" w14:textId="79C0C834" w:rsidR="00EA2D31" w:rsidRDefault="00EA2D31">
      <w:pPr>
        <w:pStyle w:val="FootnoteText"/>
      </w:pPr>
      <w:r>
        <w:rPr>
          <w:rStyle w:val="FootnoteReference"/>
        </w:rPr>
        <w:footnoteRef/>
      </w:r>
      <w:r>
        <w:t xml:space="preserve"> </w:t>
      </w:r>
      <w:r w:rsidRPr="00880626">
        <w:rPr>
          <w:rFonts w:ascii="Times New Roman" w:hAnsi="Times New Roman" w:cs="Times New Roman"/>
        </w:rPr>
        <w:t>On March 2</w:t>
      </w:r>
      <w:r>
        <w:rPr>
          <w:rFonts w:ascii="Times New Roman" w:hAnsi="Times New Roman" w:cs="Times New Roman"/>
        </w:rPr>
        <w:t>8, 2019,</w:t>
      </w:r>
      <w:r w:rsidRPr="00880626">
        <w:rPr>
          <w:rFonts w:ascii="Times New Roman" w:hAnsi="Times New Roman" w:cs="Times New Roman"/>
        </w:rPr>
        <w:t xml:space="preserve"> the District Court for the District of Columbia ruled that the Department of Labor’s </w:t>
      </w:r>
      <w:r>
        <w:rPr>
          <w:rFonts w:ascii="Times New Roman" w:hAnsi="Times New Roman" w:cs="Times New Roman"/>
        </w:rPr>
        <w:t xml:space="preserve">(“DOL’s”) </w:t>
      </w:r>
      <w:r w:rsidRPr="00880626">
        <w:rPr>
          <w:rFonts w:ascii="Times New Roman" w:hAnsi="Times New Roman" w:cs="Times New Roman"/>
        </w:rPr>
        <w:t xml:space="preserve">final regulations </w:t>
      </w:r>
      <w:r>
        <w:rPr>
          <w:rFonts w:ascii="Times New Roman" w:hAnsi="Times New Roman" w:cs="Times New Roman"/>
        </w:rPr>
        <w:t xml:space="preserve">issued on June 18, </w:t>
      </w:r>
      <w:proofErr w:type="gramStart"/>
      <w:r>
        <w:rPr>
          <w:rFonts w:ascii="Times New Roman" w:hAnsi="Times New Roman" w:cs="Times New Roman"/>
        </w:rPr>
        <w:t>2018</w:t>
      </w:r>
      <w:proofErr w:type="gramEnd"/>
      <w:r>
        <w:rPr>
          <w:rFonts w:ascii="Times New Roman" w:hAnsi="Times New Roman" w:cs="Times New Roman"/>
        </w:rPr>
        <w:t xml:space="preserve"> that allowed AHPs to cover (1) employers in </w:t>
      </w:r>
      <w:r w:rsidRPr="002148B2">
        <w:rPr>
          <w:rFonts w:ascii="Times New Roman" w:hAnsi="Times New Roman" w:cs="Times New Roman"/>
          <w:i/>
          <w:iCs/>
        </w:rPr>
        <w:t>different industries</w:t>
      </w:r>
      <w:r>
        <w:rPr>
          <w:rFonts w:ascii="Times New Roman" w:hAnsi="Times New Roman" w:cs="Times New Roman"/>
        </w:rPr>
        <w:t xml:space="preserve"> and (2) self-employed individuals with no employees </w:t>
      </w:r>
      <w:r w:rsidRPr="00880626">
        <w:rPr>
          <w:rFonts w:ascii="Times New Roman" w:hAnsi="Times New Roman" w:cs="Times New Roman"/>
        </w:rPr>
        <w:t xml:space="preserve">are invalid.  The </w:t>
      </w:r>
      <w:r>
        <w:rPr>
          <w:rFonts w:ascii="Times New Roman" w:hAnsi="Times New Roman" w:cs="Times New Roman"/>
        </w:rPr>
        <w:t xml:space="preserve">U.S. </w:t>
      </w:r>
      <w:r w:rsidRPr="00880626">
        <w:rPr>
          <w:rFonts w:ascii="Times New Roman" w:hAnsi="Times New Roman" w:cs="Times New Roman"/>
        </w:rPr>
        <w:t xml:space="preserve">Department of Justice appealed the ruling to the </w:t>
      </w:r>
      <w:r w:rsidRPr="00007402">
        <w:rPr>
          <w:rFonts w:ascii="Times New Roman" w:hAnsi="Times New Roman" w:cs="Times New Roman"/>
        </w:rPr>
        <w:t xml:space="preserve">Court </w:t>
      </w:r>
      <w:r w:rsidRPr="00880626">
        <w:rPr>
          <w:rFonts w:ascii="Times New Roman" w:hAnsi="Times New Roman" w:cs="Times New Roman"/>
        </w:rPr>
        <w:t>of Appeals for the District of Columbia Circuit.  On May 1</w:t>
      </w:r>
      <w:r>
        <w:rPr>
          <w:rFonts w:ascii="Times New Roman" w:hAnsi="Times New Roman" w:cs="Times New Roman"/>
        </w:rPr>
        <w:t>0, 2019,</w:t>
      </w:r>
      <w:r w:rsidRPr="00007402">
        <w:rPr>
          <w:rFonts w:ascii="Times New Roman" w:hAnsi="Times New Roman" w:cs="Times New Roman"/>
        </w:rPr>
        <w:t xml:space="preserve"> the Circui</w:t>
      </w:r>
      <w:r w:rsidRPr="00880626">
        <w:rPr>
          <w:rFonts w:ascii="Times New Roman" w:hAnsi="Times New Roman" w:cs="Times New Roman"/>
        </w:rPr>
        <w:t xml:space="preserve">t Court granted an expedited review of the District Court ruling.  </w:t>
      </w:r>
      <w:r>
        <w:rPr>
          <w:rFonts w:ascii="Times New Roman" w:hAnsi="Times New Roman" w:cs="Times New Roman"/>
        </w:rPr>
        <w:t>Four years later, a</w:t>
      </w:r>
      <w:r w:rsidRPr="00880626">
        <w:rPr>
          <w:rFonts w:ascii="Times New Roman" w:hAnsi="Times New Roman" w:cs="Times New Roman"/>
        </w:rPr>
        <w:t xml:space="preserve"> final ruling from the Circuit Court has yet </w:t>
      </w:r>
      <w:r>
        <w:rPr>
          <w:rFonts w:ascii="Times New Roman" w:hAnsi="Times New Roman" w:cs="Times New Roman"/>
        </w:rPr>
        <w:t xml:space="preserve">to </w:t>
      </w:r>
      <w:r w:rsidRPr="00880626">
        <w:rPr>
          <w:rFonts w:ascii="Times New Roman" w:hAnsi="Times New Roman" w:cs="Times New Roman"/>
        </w:rPr>
        <w:t>be</w:t>
      </w:r>
      <w:r>
        <w:rPr>
          <w:rFonts w:ascii="Times New Roman" w:hAnsi="Times New Roman" w:cs="Times New Roman"/>
        </w:rPr>
        <w:t xml:space="preserve"> released</w:t>
      </w:r>
      <w:r w:rsidRPr="00880626">
        <w:rPr>
          <w:rFonts w:ascii="Times New Roman" w:hAnsi="Times New Roman" w:cs="Times New Roman"/>
        </w:rPr>
        <w:t>.</w:t>
      </w:r>
    </w:p>
  </w:footnote>
  <w:footnote w:id="15">
    <w:p w14:paraId="3431D2D1" w14:textId="77777777" w:rsidR="0082352F" w:rsidRPr="00BD1B2F" w:rsidRDefault="0082352F" w:rsidP="0082352F">
      <w:pPr>
        <w:pStyle w:val="FootnoteText"/>
        <w:rPr>
          <w:rFonts w:ascii="Times New Roman" w:hAnsi="Times New Roman" w:cs="Times New Roman"/>
        </w:rPr>
      </w:pPr>
      <w:r w:rsidRPr="00BD1B2F">
        <w:rPr>
          <w:rStyle w:val="FootnoteReference"/>
          <w:rFonts w:ascii="Times New Roman" w:hAnsi="Times New Roman" w:cs="Times New Roman"/>
        </w:rPr>
        <w:footnoteRef/>
      </w:r>
      <w:r w:rsidRPr="00BD1B2F">
        <w:rPr>
          <w:rFonts w:ascii="Times New Roman" w:hAnsi="Times New Roman" w:cs="Times New Roman"/>
        </w:rPr>
        <w:t xml:space="preserve"> Section 2791(b)(5) of the Public Health Service Act section (“PHSA”), providing that the term “individual health insurance coverage” means health insurance coverage offered to individuals in the individual </w:t>
      </w:r>
      <w:proofErr w:type="gramStart"/>
      <w:r w:rsidRPr="00BD1B2F">
        <w:rPr>
          <w:rFonts w:ascii="Times New Roman" w:hAnsi="Times New Roman" w:cs="Times New Roman"/>
        </w:rPr>
        <w:t>market, but</w:t>
      </w:r>
      <w:proofErr w:type="gramEnd"/>
      <w:r w:rsidRPr="00BD1B2F">
        <w:rPr>
          <w:rFonts w:ascii="Times New Roman" w:hAnsi="Times New Roman" w:cs="Times New Roman"/>
        </w:rPr>
        <w:t xml:space="preserve"> does not include short-term limited duration insurance.</w:t>
      </w:r>
    </w:p>
  </w:footnote>
  <w:footnote w:id="16">
    <w:p w14:paraId="76716DF8" w14:textId="77777777" w:rsidR="0082352F" w:rsidRPr="00BD1B2F" w:rsidRDefault="0082352F" w:rsidP="0082352F">
      <w:pPr>
        <w:pStyle w:val="FootnoteText"/>
        <w:rPr>
          <w:rFonts w:ascii="Times New Roman" w:hAnsi="Times New Roman" w:cs="Times New Roman"/>
        </w:rPr>
      </w:pPr>
      <w:r w:rsidRPr="00BD1B2F">
        <w:rPr>
          <w:rStyle w:val="FootnoteReference"/>
          <w:rFonts w:ascii="Times New Roman" w:hAnsi="Times New Roman" w:cs="Times New Roman"/>
        </w:rPr>
        <w:footnoteRef/>
      </w:r>
      <w:r w:rsidRPr="00BD1B2F">
        <w:rPr>
          <w:rFonts w:ascii="Times New Roman" w:hAnsi="Times New Roman" w:cs="Times New Roman"/>
        </w:rPr>
        <w:t xml:space="preserve"> Section 1551 of the Affordable Care Act (“ACA”) incorporates the definitions under the PHSA – including PHSA section 2791(b)(5) – into the ACA’s insurance and coverage requirements.  </w:t>
      </w:r>
    </w:p>
  </w:footnote>
  <w:footnote w:id="17">
    <w:p w14:paraId="7894BF52" w14:textId="77777777" w:rsidR="0082352F" w:rsidRPr="00BD1B2F" w:rsidRDefault="0082352F" w:rsidP="0082352F">
      <w:pPr>
        <w:pStyle w:val="FootnoteText"/>
        <w:rPr>
          <w:rFonts w:ascii="Times New Roman" w:hAnsi="Times New Roman" w:cs="Times New Roman"/>
        </w:rPr>
      </w:pPr>
      <w:r w:rsidRPr="00BD1B2F">
        <w:rPr>
          <w:rStyle w:val="FootnoteReference"/>
          <w:rFonts w:ascii="Times New Roman" w:hAnsi="Times New Roman" w:cs="Times New Roman"/>
        </w:rPr>
        <w:footnoteRef/>
      </w:r>
      <w:r>
        <w:rPr>
          <w:rFonts w:ascii="Times New Roman" w:hAnsi="Times New Roman" w:cs="Times New Roman"/>
        </w:rPr>
        <w:t xml:space="preserve"> ERISA s</w:t>
      </w:r>
      <w:r w:rsidRPr="00BD1B2F">
        <w:rPr>
          <w:rFonts w:ascii="Times New Roman" w:hAnsi="Times New Roman" w:cs="Times New Roman"/>
        </w:rPr>
        <w:t>ection 733(a)(1) and PHSA section 2791(a)(1) provide that a “group health plan” is generally any plan, fund, or program established or maintained by an employer (or employee organization or both) for the purpose of providing medical care to employees or their dependents…directly, or through insurance, reimbursement, or otherwise.</w:t>
      </w:r>
    </w:p>
  </w:footnote>
  <w:footnote w:id="18">
    <w:p w14:paraId="7D7CB348" w14:textId="77777777" w:rsidR="0082352F" w:rsidRPr="00BD1B2F" w:rsidRDefault="0082352F" w:rsidP="0082352F">
      <w:pPr>
        <w:pStyle w:val="FootnoteText"/>
        <w:rPr>
          <w:rFonts w:ascii="Times New Roman" w:hAnsi="Times New Roman" w:cs="Times New Roman"/>
        </w:rPr>
      </w:pPr>
      <w:r w:rsidRPr="00BD1B2F">
        <w:rPr>
          <w:rStyle w:val="FootnoteReference"/>
          <w:rFonts w:ascii="Times New Roman" w:hAnsi="Times New Roman" w:cs="Times New Roman"/>
        </w:rPr>
        <w:footnoteRef/>
      </w:r>
      <w:r w:rsidRPr="00BD1B2F">
        <w:rPr>
          <w:rFonts w:ascii="Times New Roman" w:hAnsi="Times New Roman" w:cs="Times New Roman"/>
        </w:rPr>
        <w:t xml:space="preserve"> ERISA section 715 incorporates by reference the ACA’s coverage requirements applicable to a “group health plan” into ERISA. </w:t>
      </w:r>
    </w:p>
  </w:footnote>
  <w:footnote w:id="19">
    <w:p w14:paraId="33F6D328" w14:textId="77777777" w:rsidR="0082352F" w:rsidRPr="00BD1B2F" w:rsidRDefault="0082352F" w:rsidP="0082352F">
      <w:pPr>
        <w:pStyle w:val="FootnoteText"/>
        <w:rPr>
          <w:rFonts w:ascii="Times New Roman" w:hAnsi="Times New Roman" w:cs="Times New Roman"/>
        </w:rPr>
      </w:pPr>
      <w:r w:rsidRPr="00BD1B2F">
        <w:rPr>
          <w:rStyle w:val="FootnoteReference"/>
          <w:rFonts w:ascii="Times New Roman" w:hAnsi="Times New Roman" w:cs="Times New Roman"/>
        </w:rPr>
        <w:footnoteRef/>
      </w:r>
      <w:r w:rsidRPr="00BD1B2F">
        <w:rPr>
          <w:rFonts w:ascii="Times New Roman" w:hAnsi="Times New Roman" w:cs="Times New Roman"/>
        </w:rPr>
        <w:t xml:space="preserve"> </w:t>
      </w:r>
      <w:r w:rsidRPr="00BD1B2F">
        <w:rPr>
          <w:rFonts w:ascii="Times New Roman" w:hAnsi="Times New Roman" w:cs="Times New Roman"/>
          <w:i/>
        </w:rPr>
        <w:t>See</w:t>
      </w:r>
      <w:r w:rsidRPr="00BD1B2F">
        <w:rPr>
          <w:rFonts w:ascii="Times New Roman" w:hAnsi="Times New Roman" w:cs="Times New Roman"/>
        </w:rPr>
        <w:t xml:space="preserve"> PHSA section 2704.</w:t>
      </w:r>
    </w:p>
  </w:footnote>
  <w:footnote w:id="20">
    <w:p w14:paraId="1F0F8511" w14:textId="77777777" w:rsidR="0082352F" w:rsidRPr="00BD1B2F" w:rsidRDefault="0082352F" w:rsidP="0082352F">
      <w:pPr>
        <w:pStyle w:val="FootnoteText"/>
        <w:rPr>
          <w:rFonts w:ascii="Times New Roman" w:hAnsi="Times New Roman" w:cs="Times New Roman"/>
        </w:rPr>
      </w:pPr>
      <w:r w:rsidRPr="00BD1B2F">
        <w:rPr>
          <w:rStyle w:val="FootnoteReference"/>
          <w:rFonts w:ascii="Times New Roman" w:hAnsi="Times New Roman" w:cs="Times New Roman"/>
        </w:rPr>
        <w:footnoteRef/>
      </w:r>
      <w:r w:rsidRPr="00BD1B2F">
        <w:rPr>
          <w:rFonts w:ascii="Times New Roman" w:hAnsi="Times New Roman" w:cs="Times New Roman"/>
        </w:rPr>
        <w:t xml:space="preserve"> </w:t>
      </w:r>
      <w:r w:rsidRPr="00BD1B2F">
        <w:rPr>
          <w:rFonts w:ascii="Times New Roman" w:hAnsi="Times New Roman" w:cs="Times New Roman"/>
          <w:i/>
        </w:rPr>
        <w:t>See</w:t>
      </w:r>
      <w:r w:rsidRPr="00BD1B2F">
        <w:rPr>
          <w:rFonts w:ascii="Times New Roman" w:hAnsi="Times New Roman" w:cs="Times New Roman"/>
        </w:rPr>
        <w:t xml:space="preserve"> PHSA section 2711.</w:t>
      </w:r>
    </w:p>
  </w:footnote>
  <w:footnote w:id="21">
    <w:p w14:paraId="3170A75B" w14:textId="77777777" w:rsidR="0082352F" w:rsidRPr="00BD1B2F" w:rsidRDefault="0082352F" w:rsidP="0082352F">
      <w:pPr>
        <w:pStyle w:val="FootnoteText"/>
        <w:rPr>
          <w:rFonts w:ascii="Times New Roman" w:hAnsi="Times New Roman" w:cs="Times New Roman"/>
        </w:rPr>
      </w:pPr>
      <w:r w:rsidRPr="00BD1B2F">
        <w:rPr>
          <w:rStyle w:val="FootnoteReference"/>
          <w:rFonts w:ascii="Times New Roman" w:hAnsi="Times New Roman" w:cs="Times New Roman"/>
        </w:rPr>
        <w:footnoteRef/>
      </w:r>
      <w:r w:rsidRPr="00BD1B2F">
        <w:rPr>
          <w:rFonts w:ascii="Times New Roman" w:hAnsi="Times New Roman" w:cs="Times New Roman"/>
          <w:i/>
        </w:rPr>
        <w:t xml:space="preserve"> See</w:t>
      </w:r>
      <w:r w:rsidRPr="00BD1B2F">
        <w:rPr>
          <w:rFonts w:ascii="Times New Roman" w:hAnsi="Times New Roman" w:cs="Times New Roman"/>
        </w:rPr>
        <w:t xml:space="preserve"> PHSA section 2713.</w:t>
      </w:r>
    </w:p>
  </w:footnote>
  <w:footnote w:id="22">
    <w:p w14:paraId="49D12127" w14:textId="77777777" w:rsidR="0082352F" w:rsidRPr="00BD1B2F" w:rsidRDefault="0082352F" w:rsidP="0082352F">
      <w:pPr>
        <w:pStyle w:val="FootnoteText"/>
        <w:rPr>
          <w:rFonts w:ascii="Times New Roman" w:hAnsi="Times New Roman" w:cs="Times New Roman"/>
        </w:rPr>
      </w:pPr>
      <w:r w:rsidRPr="00BD1B2F">
        <w:rPr>
          <w:rStyle w:val="FootnoteReference"/>
          <w:rFonts w:ascii="Times New Roman" w:hAnsi="Times New Roman" w:cs="Times New Roman"/>
        </w:rPr>
        <w:footnoteRef/>
      </w:r>
      <w:r w:rsidRPr="00BD1B2F">
        <w:rPr>
          <w:rFonts w:ascii="Times New Roman" w:hAnsi="Times New Roman" w:cs="Times New Roman"/>
        </w:rPr>
        <w:t xml:space="preserve"> </w:t>
      </w:r>
      <w:r w:rsidRPr="00BD1B2F">
        <w:rPr>
          <w:rFonts w:ascii="Times New Roman" w:hAnsi="Times New Roman" w:cs="Times New Roman"/>
          <w:i/>
        </w:rPr>
        <w:t>See</w:t>
      </w:r>
      <w:r w:rsidRPr="00BD1B2F">
        <w:rPr>
          <w:rFonts w:ascii="Times New Roman" w:hAnsi="Times New Roman" w:cs="Times New Roman"/>
        </w:rPr>
        <w:t xml:space="preserve"> PHSA section 2714.</w:t>
      </w:r>
    </w:p>
  </w:footnote>
  <w:footnote w:id="23">
    <w:p w14:paraId="76F1BFDD" w14:textId="77777777" w:rsidR="0082352F" w:rsidRPr="00BD1B2F" w:rsidRDefault="0082352F" w:rsidP="0082352F">
      <w:pPr>
        <w:pStyle w:val="FootnoteText"/>
        <w:rPr>
          <w:rFonts w:ascii="Times New Roman" w:hAnsi="Times New Roman" w:cs="Times New Roman"/>
        </w:rPr>
      </w:pPr>
      <w:r w:rsidRPr="00BD1B2F">
        <w:rPr>
          <w:rStyle w:val="FootnoteReference"/>
          <w:rFonts w:ascii="Times New Roman" w:hAnsi="Times New Roman" w:cs="Times New Roman"/>
        </w:rPr>
        <w:footnoteRef/>
      </w:r>
      <w:r w:rsidRPr="00BD1B2F">
        <w:rPr>
          <w:rFonts w:ascii="Times New Roman" w:hAnsi="Times New Roman" w:cs="Times New Roman"/>
        </w:rPr>
        <w:t xml:space="preserve"> </w:t>
      </w:r>
      <w:r w:rsidRPr="00BD1B2F">
        <w:rPr>
          <w:rFonts w:ascii="Times New Roman" w:hAnsi="Times New Roman" w:cs="Times New Roman"/>
          <w:i/>
        </w:rPr>
        <w:t>See</w:t>
      </w:r>
      <w:r w:rsidRPr="00BD1B2F">
        <w:rPr>
          <w:rFonts w:ascii="Times New Roman" w:hAnsi="Times New Roman" w:cs="Times New Roman"/>
        </w:rPr>
        <w:t xml:space="preserve"> PHSA section 2712.</w:t>
      </w:r>
    </w:p>
  </w:footnote>
  <w:footnote w:id="24">
    <w:p w14:paraId="335A744D" w14:textId="77777777" w:rsidR="0082352F" w:rsidRPr="00BD1B2F" w:rsidRDefault="0082352F" w:rsidP="0082352F">
      <w:pPr>
        <w:pStyle w:val="FootnoteText"/>
        <w:rPr>
          <w:rFonts w:ascii="Times New Roman" w:hAnsi="Times New Roman" w:cs="Times New Roman"/>
        </w:rPr>
      </w:pPr>
      <w:r w:rsidRPr="00BD1B2F">
        <w:rPr>
          <w:rStyle w:val="FootnoteReference"/>
          <w:rFonts w:ascii="Times New Roman" w:hAnsi="Times New Roman" w:cs="Times New Roman"/>
        </w:rPr>
        <w:footnoteRef/>
      </w:r>
      <w:r w:rsidRPr="00BD1B2F">
        <w:rPr>
          <w:rFonts w:ascii="Times New Roman" w:hAnsi="Times New Roman" w:cs="Times New Roman"/>
        </w:rPr>
        <w:t xml:space="preserve"> </w:t>
      </w:r>
      <w:r w:rsidRPr="00BD1B2F">
        <w:rPr>
          <w:rFonts w:ascii="Times New Roman" w:hAnsi="Times New Roman" w:cs="Times New Roman"/>
          <w:i/>
        </w:rPr>
        <w:t>See</w:t>
      </w:r>
      <w:r w:rsidRPr="00BD1B2F">
        <w:rPr>
          <w:rFonts w:ascii="Times New Roman" w:hAnsi="Times New Roman" w:cs="Times New Roman"/>
        </w:rPr>
        <w:t xml:space="preserve"> PHSA section 2719.</w:t>
      </w:r>
    </w:p>
  </w:footnote>
  <w:footnote w:id="25">
    <w:p w14:paraId="302C80EB" w14:textId="77777777" w:rsidR="0082352F" w:rsidRPr="00BD1B2F" w:rsidRDefault="0082352F" w:rsidP="0082352F">
      <w:pPr>
        <w:pStyle w:val="FootnoteText"/>
        <w:rPr>
          <w:rFonts w:ascii="Times New Roman" w:hAnsi="Times New Roman" w:cs="Times New Roman"/>
        </w:rPr>
      </w:pPr>
      <w:r w:rsidRPr="00BD1B2F">
        <w:rPr>
          <w:rStyle w:val="FootnoteReference"/>
          <w:rFonts w:ascii="Times New Roman" w:hAnsi="Times New Roman" w:cs="Times New Roman"/>
        </w:rPr>
        <w:footnoteRef/>
      </w:r>
      <w:r w:rsidRPr="00BD1B2F">
        <w:rPr>
          <w:rFonts w:ascii="Times New Roman" w:hAnsi="Times New Roman" w:cs="Times New Roman"/>
        </w:rPr>
        <w:t xml:space="preserve"> </w:t>
      </w:r>
      <w:r w:rsidRPr="00BD1B2F">
        <w:rPr>
          <w:rFonts w:ascii="Times New Roman" w:hAnsi="Times New Roman" w:cs="Times New Roman"/>
          <w:i/>
        </w:rPr>
        <w:t>Id</w:t>
      </w:r>
      <w:r w:rsidRPr="00BD1B2F">
        <w:rPr>
          <w:rFonts w:ascii="Times New Roman" w:hAnsi="Times New Roman" w:cs="Times New Roman"/>
        </w:rPr>
        <w:t>.</w:t>
      </w:r>
    </w:p>
  </w:footnote>
  <w:footnote w:id="26">
    <w:p w14:paraId="365A9422" w14:textId="77777777" w:rsidR="0082352F" w:rsidRPr="00BD1B2F" w:rsidRDefault="0082352F" w:rsidP="0082352F">
      <w:pPr>
        <w:pStyle w:val="FootnoteText"/>
        <w:rPr>
          <w:rFonts w:ascii="Times New Roman" w:hAnsi="Times New Roman" w:cs="Times New Roman"/>
        </w:rPr>
      </w:pPr>
      <w:r w:rsidRPr="00BD1B2F">
        <w:rPr>
          <w:rStyle w:val="FootnoteReference"/>
          <w:rFonts w:ascii="Times New Roman" w:hAnsi="Times New Roman" w:cs="Times New Roman"/>
        </w:rPr>
        <w:footnoteRef/>
      </w:r>
      <w:r w:rsidRPr="00BD1B2F">
        <w:rPr>
          <w:rFonts w:ascii="Times New Roman" w:hAnsi="Times New Roman" w:cs="Times New Roman"/>
        </w:rPr>
        <w:t xml:space="preserve"> </w:t>
      </w:r>
      <w:r w:rsidRPr="00BD1B2F">
        <w:rPr>
          <w:rFonts w:ascii="Times New Roman" w:hAnsi="Times New Roman" w:cs="Times New Roman"/>
          <w:i/>
        </w:rPr>
        <w:t>See</w:t>
      </w:r>
      <w:r w:rsidRPr="00BD1B2F">
        <w:rPr>
          <w:rFonts w:ascii="Times New Roman" w:hAnsi="Times New Roman" w:cs="Times New Roman"/>
        </w:rPr>
        <w:t xml:space="preserve"> PHSA section 2719A.</w:t>
      </w:r>
    </w:p>
  </w:footnote>
  <w:footnote w:id="27">
    <w:p w14:paraId="4BF1B13F" w14:textId="77777777" w:rsidR="0082352F" w:rsidRPr="00BD1B2F" w:rsidRDefault="0082352F" w:rsidP="0082352F">
      <w:pPr>
        <w:pStyle w:val="FootnoteText"/>
        <w:rPr>
          <w:rFonts w:ascii="Times New Roman" w:hAnsi="Times New Roman" w:cs="Times New Roman"/>
        </w:rPr>
      </w:pPr>
      <w:r w:rsidRPr="00BD1B2F">
        <w:rPr>
          <w:rStyle w:val="FootnoteReference"/>
          <w:rFonts w:ascii="Times New Roman" w:hAnsi="Times New Roman" w:cs="Times New Roman"/>
        </w:rPr>
        <w:footnoteRef/>
      </w:r>
      <w:r w:rsidRPr="00BD1B2F">
        <w:rPr>
          <w:rFonts w:ascii="Times New Roman" w:hAnsi="Times New Roman" w:cs="Times New Roman"/>
        </w:rPr>
        <w:t xml:space="preserve"> </w:t>
      </w:r>
      <w:r w:rsidRPr="00BD1B2F">
        <w:rPr>
          <w:rFonts w:ascii="Times New Roman" w:hAnsi="Times New Roman" w:cs="Times New Roman"/>
          <w:i/>
        </w:rPr>
        <w:t>See</w:t>
      </w:r>
      <w:r w:rsidRPr="00BD1B2F">
        <w:rPr>
          <w:rFonts w:ascii="Times New Roman" w:hAnsi="Times New Roman" w:cs="Times New Roman"/>
        </w:rPr>
        <w:t xml:space="preserve"> PHSA section 2705.</w:t>
      </w:r>
    </w:p>
  </w:footnote>
  <w:footnote w:id="28">
    <w:p w14:paraId="12299003" w14:textId="77777777" w:rsidR="0082352F" w:rsidRPr="00BD1B2F" w:rsidRDefault="0082352F" w:rsidP="0082352F">
      <w:pPr>
        <w:pStyle w:val="FootnoteText"/>
        <w:rPr>
          <w:rFonts w:ascii="Times New Roman" w:hAnsi="Times New Roman" w:cs="Times New Roman"/>
        </w:rPr>
      </w:pPr>
      <w:r w:rsidRPr="00BD1B2F">
        <w:rPr>
          <w:rStyle w:val="FootnoteReference"/>
          <w:rFonts w:ascii="Times New Roman" w:hAnsi="Times New Roman" w:cs="Times New Roman"/>
        </w:rPr>
        <w:footnoteRef/>
      </w:r>
      <w:r w:rsidRPr="00BD1B2F">
        <w:rPr>
          <w:rFonts w:ascii="Times New Roman" w:hAnsi="Times New Roman" w:cs="Times New Roman"/>
        </w:rPr>
        <w:t xml:space="preserve"> </w:t>
      </w:r>
      <w:r w:rsidRPr="00BD1B2F">
        <w:rPr>
          <w:rFonts w:ascii="Times New Roman" w:hAnsi="Times New Roman" w:cs="Times New Roman"/>
          <w:i/>
        </w:rPr>
        <w:t>See</w:t>
      </w:r>
      <w:r w:rsidRPr="00BD1B2F">
        <w:rPr>
          <w:rFonts w:ascii="Times New Roman" w:hAnsi="Times New Roman" w:cs="Times New Roman"/>
        </w:rPr>
        <w:t xml:space="preserve"> PHSA section 2707(b).</w:t>
      </w:r>
    </w:p>
  </w:footnote>
  <w:footnote w:id="29">
    <w:p w14:paraId="5F867990" w14:textId="77777777" w:rsidR="0082352F" w:rsidRPr="00BD1B2F" w:rsidRDefault="0082352F" w:rsidP="0082352F">
      <w:pPr>
        <w:pStyle w:val="FootnoteText"/>
        <w:rPr>
          <w:rFonts w:ascii="Times New Roman" w:hAnsi="Times New Roman" w:cs="Times New Roman"/>
        </w:rPr>
      </w:pPr>
      <w:r w:rsidRPr="00BD1B2F">
        <w:rPr>
          <w:rStyle w:val="FootnoteReference"/>
          <w:rFonts w:ascii="Times New Roman" w:hAnsi="Times New Roman" w:cs="Times New Roman"/>
        </w:rPr>
        <w:footnoteRef/>
      </w:r>
      <w:r w:rsidRPr="00BD1B2F">
        <w:rPr>
          <w:rFonts w:ascii="Times New Roman" w:hAnsi="Times New Roman" w:cs="Times New Roman"/>
        </w:rPr>
        <w:t xml:space="preserve"> </w:t>
      </w:r>
      <w:r w:rsidRPr="00BD1B2F">
        <w:rPr>
          <w:rFonts w:ascii="Times New Roman" w:hAnsi="Times New Roman" w:cs="Times New Roman"/>
          <w:i/>
        </w:rPr>
        <w:t>See</w:t>
      </w:r>
      <w:r w:rsidRPr="00BD1B2F">
        <w:rPr>
          <w:rFonts w:ascii="Times New Roman" w:hAnsi="Times New Roman" w:cs="Times New Roman"/>
        </w:rPr>
        <w:t xml:space="preserve"> PHSA section 2708.</w:t>
      </w:r>
    </w:p>
  </w:footnote>
  <w:footnote w:id="30">
    <w:p w14:paraId="44F2652D" w14:textId="77777777" w:rsidR="0082352F" w:rsidRPr="00BD1B2F" w:rsidRDefault="0082352F" w:rsidP="0082352F">
      <w:pPr>
        <w:pStyle w:val="FootnoteText"/>
        <w:rPr>
          <w:rFonts w:ascii="Times New Roman" w:hAnsi="Times New Roman" w:cs="Times New Roman"/>
        </w:rPr>
      </w:pPr>
      <w:r w:rsidRPr="00BD1B2F">
        <w:rPr>
          <w:rStyle w:val="FootnoteReference"/>
          <w:rFonts w:ascii="Times New Roman" w:hAnsi="Times New Roman" w:cs="Times New Roman"/>
        </w:rPr>
        <w:footnoteRef/>
      </w:r>
      <w:r w:rsidRPr="00BD1B2F">
        <w:rPr>
          <w:rFonts w:ascii="Times New Roman" w:hAnsi="Times New Roman" w:cs="Times New Roman"/>
        </w:rPr>
        <w:t xml:space="preserve"> </w:t>
      </w:r>
      <w:r w:rsidRPr="00BD1B2F">
        <w:rPr>
          <w:rFonts w:ascii="Times New Roman" w:hAnsi="Times New Roman" w:cs="Times New Roman"/>
          <w:i/>
        </w:rPr>
        <w:t>See</w:t>
      </w:r>
      <w:r w:rsidRPr="00BD1B2F">
        <w:rPr>
          <w:rFonts w:ascii="Times New Roman" w:hAnsi="Times New Roman" w:cs="Times New Roman"/>
        </w:rPr>
        <w:t xml:space="preserve"> PHSA section 2709.</w:t>
      </w:r>
    </w:p>
  </w:footnote>
  <w:footnote w:id="31">
    <w:p w14:paraId="22203D5A" w14:textId="77777777" w:rsidR="0082352F" w:rsidRPr="00BD1B2F" w:rsidRDefault="0082352F" w:rsidP="0082352F">
      <w:pPr>
        <w:pStyle w:val="FootnoteText"/>
        <w:rPr>
          <w:rFonts w:ascii="Times New Roman" w:hAnsi="Times New Roman" w:cs="Times New Roman"/>
        </w:rPr>
      </w:pPr>
      <w:r w:rsidRPr="00BD1B2F">
        <w:rPr>
          <w:rStyle w:val="FootnoteReference"/>
          <w:rFonts w:ascii="Times New Roman" w:hAnsi="Times New Roman" w:cs="Times New Roman"/>
        </w:rPr>
        <w:footnoteRef/>
      </w:r>
      <w:r w:rsidRPr="00BD1B2F">
        <w:rPr>
          <w:rFonts w:ascii="Times New Roman" w:hAnsi="Times New Roman" w:cs="Times New Roman"/>
        </w:rPr>
        <w:t xml:space="preserve"> </w:t>
      </w:r>
      <w:r w:rsidRPr="00BD1B2F">
        <w:rPr>
          <w:rFonts w:ascii="Times New Roman" w:hAnsi="Times New Roman" w:cs="Times New Roman"/>
          <w:i/>
        </w:rPr>
        <w:t>See</w:t>
      </w:r>
      <w:r w:rsidRPr="00BD1B2F">
        <w:rPr>
          <w:rFonts w:ascii="Times New Roman" w:hAnsi="Times New Roman" w:cs="Times New Roman"/>
        </w:rPr>
        <w:t xml:space="preserve"> PHSA section 2715.</w:t>
      </w:r>
    </w:p>
  </w:footnote>
  <w:footnote w:id="32">
    <w:p w14:paraId="49DE5C8B" w14:textId="77777777" w:rsidR="0082352F" w:rsidRPr="00BD1B2F" w:rsidRDefault="0082352F" w:rsidP="0082352F">
      <w:pPr>
        <w:pStyle w:val="FootnoteText"/>
        <w:rPr>
          <w:rFonts w:ascii="Times New Roman" w:hAnsi="Times New Roman" w:cs="Times New Roman"/>
        </w:rPr>
      </w:pPr>
      <w:r w:rsidRPr="00BD1B2F">
        <w:rPr>
          <w:rStyle w:val="FootnoteReference"/>
          <w:rFonts w:ascii="Times New Roman" w:hAnsi="Times New Roman" w:cs="Times New Roman"/>
        </w:rPr>
        <w:footnoteRef/>
      </w:r>
      <w:r w:rsidRPr="00BD1B2F">
        <w:rPr>
          <w:rFonts w:ascii="Times New Roman" w:hAnsi="Times New Roman" w:cs="Times New Roman"/>
        </w:rPr>
        <w:t xml:space="preserve"> </w:t>
      </w:r>
      <w:r w:rsidRPr="00BD1B2F">
        <w:rPr>
          <w:rFonts w:ascii="Times New Roman" w:hAnsi="Times New Roman" w:cs="Times New Roman"/>
          <w:i/>
        </w:rPr>
        <w:t>See</w:t>
      </w:r>
      <w:r w:rsidRPr="00BD1B2F">
        <w:rPr>
          <w:rFonts w:ascii="Times New Roman" w:hAnsi="Times New Roman" w:cs="Times New Roman"/>
        </w:rPr>
        <w:t xml:space="preserve"> PHSA section 2717.</w:t>
      </w:r>
    </w:p>
  </w:footnote>
  <w:footnote w:id="33">
    <w:p w14:paraId="729118D5" w14:textId="77777777" w:rsidR="0082352F" w:rsidRPr="00BD1B2F" w:rsidRDefault="0082352F" w:rsidP="0082352F">
      <w:pPr>
        <w:pStyle w:val="FootnoteText"/>
        <w:rPr>
          <w:rFonts w:ascii="Times New Roman" w:hAnsi="Times New Roman" w:cs="Times New Roman"/>
        </w:rPr>
      </w:pPr>
      <w:r w:rsidRPr="00BD1B2F">
        <w:rPr>
          <w:rStyle w:val="FootnoteReference"/>
          <w:rFonts w:ascii="Times New Roman" w:hAnsi="Times New Roman" w:cs="Times New Roman"/>
        </w:rPr>
        <w:footnoteRef/>
      </w:r>
      <w:r w:rsidRPr="00BD1B2F">
        <w:rPr>
          <w:rFonts w:ascii="Times New Roman" w:hAnsi="Times New Roman" w:cs="Times New Roman"/>
        </w:rPr>
        <w:t xml:space="preserve"> ERISA, Title I, Subtitle B Part 1.</w:t>
      </w:r>
    </w:p>
  </w:footnote>
  <w:footnote w:id="34">
    <w:p w14:paraId="4372A980" w14:textId="77777777" w:rsidR="0082352F" w:rsidRPr="00BD1B2F" w:rsidRDefault="0082352F" w:rsidP="0082352F">
      <w:pPr>
        <w:pStyle w:val="FootnoteText"/>
        <w:rPr>
          <w:rFonts w:ascii="Times New Roman" w:hAnsi="Times New Roman" w:cs="Times New Roman"/>
        </w:rPr>
      </w:pPr>
      <w:r w:rsidRPr="00BD1B2F">
        <w:rPr>
          <w:rStyle w:val="FootnoteReference"/>
          <w:rFonts w:ascii="Times New Roman" w:hAnsi="Times New Roman" w:cs="Times New Roman"/>
        </w:rPr>
        <w:footnoteRef/>
      </w:r>
      <w:r w:rsidRPr="00BD1B2F">
        <w:rPr>
          <w:rFonts w:ascii="Times New Roman" w:hAnsi="Times New Roman" w:cs="Times New Roman"/>
        </w:rPr>
        <w:t xml:space="preserve"> ERISA, Title I, Subtitle B Part 4.</w:t>
      </w:r>
    </w:p>
  </w:footnote>
  <w:footnote w:id="35">
    <w:p w14:paraId="20DD72BC" w14:textId="77777777" w:rsidR="0082352F" w:rsidRPr="00BD1B2F" w:rsidRDefault="0082352F" w:rsidP="0082352F">
      <w:pPr>
        <w:pStyle w:val="FootnoteText"/>
        <w:rPr>
          <w:rFonts w:ascii="Times New Roman" w:hAnsi="Times New Roman" w:cs="Times New Roman"/>
        </w:rPr>
      </w:pPr>
      <w:r w:rsidRPr="00BD1B2F">
        <w:rPr>
          <w:rStyle w:val="FootnoteReference"/>
          <w:rFonts w:ascii="Times New Roman" w:hAnsi="Times New Roman" w:cs="Times New Roman"/>
        </w:rPr>
        <w:footnoteRef/>
      </w:r>
      <w:r w:rsidRPr="00BD1B2F">
        <w:rPr>
          <w:rFonts w:ascii="Times New Roman" w:hAnsi="Times New Roman" w:cs="Times New Roman"/>
        </w:rPr>
        <w:t xml:space="preserve"> ERISA section 502.</w:t>
      </w:r>
    </w:p>
  </w:footnote>
  <w:footnote w:id="36">
    <w:p w14:paraId="6A876AF7" w14:textId="77777777" w:rsidR="0082352F" w:rsidRPr="00BD1B2F" w:rsidRDefault="0082352F" w:rsidP="0082352F">
      <w:pPr>
        <w:pStyle w:val="FootnoteText"/>
        <w:rPr>
          <w:rFonts w:ascii="Times New Roman" w:hAnsi="Times New Roman" w:cs="Times New Roman"/>
        </w:rPr>
      </w:pPr>
      <w:r w:rsidRPr="00BD1B2F">
        <w:rPr>
          <w:rStyle w:val="FootnoteReference"/>
          <w:rFonts w:ascii="Times New Roman" w:hAnsi="Times New Roman" w:cs="Times New Roman"/>
        </w:rPr>
        <w:footnoteRef/>
      </w:r>
      <w:r w:rsidRPr="00BD1B2F">
        <w:rPr>
          <w:rFonts w:ascii="Times New Roman" w:hAnsi="Times New Roman" w:cs="Times New Roman"/>
        </w:rPr>
        <w:t xml:space="preserve"> ERISA section 503.</w:t>
      </w:r>
    </w:p>
  </w:footnote>
  <w:footnote w:id="37">
    <w:p w14:paraId="681F694F" w14:textId="77777777" w:rsidR="0082352F" w:rsidRPr="00BD1B2F" w:rsidRDefault="0082352F" w:rsidP="0082352F">
      <w:pPr>
        <w:pStyle w:val="FootnoteText"/>
        <w:rPr>
          <w:rFonts w:ascii="Times New Roman" w:hAnsi="Times New Roman" w:cs="Times New Roman"/>
        </w:rPr>
      </w:pPr>
      <w:r w:rsidRPr="00BD1B2F">
        <w:rPr>
          <w:rStyle w:val="FootnoteReference"/>
          <w:rFonts w:ascii="Times New Roman" w:hAnsi="Times New Roman" w:cs="Times New Roman"/>
        </w:rPr>
        <w:footnoteRef/>
      </w:r>
      <w:r w:rsidRPr="00BD1B2F">
        <w:rPr>
          <w:rFonts w:ascii="Times New Roman" w:hAnsi="Times New Roman" w:cs="Times New Roman"/>
        </w:rPr>
        <w:t xml:space="preserve"> ERISA, Title I, Subtitle B Part 7.</w:t>
      </w:r>
    </w:p>
  </w:footnote>
  <w:footnote w:id="38">
    <w:p w14:paraId="1817E4E7" w14:textId="77777777" w:rsidR="0082352F" w:rsidRPr="00BD1B2F" w:rsidRDefault="0082352F" w:rsidP="0082352F">
      <w:pPr>
        <w:pStyle w:val="FootnoteText"/>
        <w:rPr>
          <w:rFonts w:ascii="Times New Roman" w:hAnsi="Times New Roman" w:cs="Times New Roman"/>
        </w:rPr>
      </w:pPr>
      <w:r w:rsidRPr="00BD1B2F">
        <w:rPr>
          <w:rStyle w:val="FootnoteReference"/>
          <w:rFonts w:ascii="Times New Roman" w:hAnsi="Times New Roman" w:cs="Times New Roman"/>
        </w:rPr>
        <w:footnoteRef/>
      </w:r>
      <w:r w:rsidRPr="00BD1B2F">
        <w:rPr>
          <w:rFonts w:ascii="Times New Roman" w:hAnsi="Times New Roman" w:cs="Times New Roman"/>
        </w:rPr>
        <w:t xml:space="preserve"> ERISA section 702.</w:t>
      </w:r>
    </w:p>
  </w:footnote>
  <w:footnote w:id="39">
    <w:p w14:paraId="67B5264A" w14:textId="77777777" w:rsidR="0082352F" w:rsidRPr="00BD1B2F" w:rsidRDefault="0082352F" w:rsidP="0082352F">
      <w:pPr>
        <w:pStyle w:val="FootnoteText"/>
        <w:rPr>
          <w:rFonts w:ascii="Times New Roman" w:hAnsi="Times New Roman" w:cs="Times New Roman"/>
        </w:rPr>
      </w:pPr>
      <w:r w:rsidRPr="00BD1B2F">
        <w:rPr>
          <w:rStyle w:val="FootnoteReference"/>
          <w:rFonts w:ascii="Times New Roman" w:hAnsi="Times New Roman" w:cs="Times New Roman"/>
        </w:rPr>
        <w:footnoteRef/>
      </w:r>
      <w:r w:rsidRPr="00BD1B2F">
        <w:rPr>
          <w:rFonts w:ascii="Times New Roman" w:hAnsi="Times New Roman" w:cs="Times New Roman"/>
        </w:rPr>
        <w:t xml:space="preserve"> </w:t>
      </w:r>
      <w:r w:rsidRPr="00BD1B2F">
        <w:rPr>
          <w:rFonts w:ascii="Times New Roman" w:hAnsi="Times New Roman" w:cs="Times New Roman"/>
          <w:i/>
        </w:rPr>
        <w:t>See</w:t>
      </w:r>
      <w:r w:rsidRPr="00BD1B2F">
        <w:rPr>
          <w:rFonts w:ascii="Times New Roman" w:hAnsi="Times New Roman" w:cs="Times New Roman"/>
        </w:rPr>
        <w:t xml:space="preserve"> ERISA section 3(40).</w:t>
      </w:r>
    </w:p>
  </w:footnote>
  <w:footnote w:id="40">
    <w:p w14:paraId="2B8AE3D0" w14:textId="77777777" w:rsidR="0082352F" w:rsidRPr="00BD1B2F" w:rsidRDefault="0082352F" w:rsidP="0082352F">
      <w:pPr>
        <w:pStyle w:val="FootnoteText"/>
        <w:rPr>
          <w:rFonts w:ascii="Times New Roman" w:hAnsi="Times New Roman" w:cs="Times New Roman"/>
        </w:rPr>
      </w:pPr>
      <w:r w:rsidRPr="00BD1B2F">
        <w:rPr>
          <w:rStyle w:val="FootnoteReference"/>
          <w:rFonts w:ascii="Times New Roman" w:hAnsi="Times New Roman" w:cs="Times New Roman"/>
        </w:rPr>
        <w:footnoteRef/>
      </w:r>
      <w:r w:rsidRPr="00BD1B2F">
        <w:rPr>
          <w:rFonts w:ascii="Times New Roman" w:hAnsi="Times New Roman" w:cs="Times New Roman"/>
        </w:rPr>
        <w:t xml:space="preserve"> ERISA section 514(b)(6)(A)(ii).</w:t>
      </w:r>
    </w:p>
  </w:footnote>
  <w:footnote w:id="41">
    <w:p w14:paraId="0DBD65FF" w14:textId="77777777" w:rsidR="00E44B1E" w:rsidRPr="00B81D41" w:rsidRDefault="00E44B1E" w:rsidP="00E44B1E">
      <w:pPr>
        <w:pStyle w:val="FootnoteText"/>
        <w:rPr>
          <w:rFonts w:ascii="Times New Roman" w:hAnsi="Times New Roman" w:cs="Times New Roman"/>
        </w:rPr>
      </w:pPr>
      <w:r w:rsidRPr="00B81D41">
        <w:rPr>
          <w:rStyle w:val="FootnoteReference"/>
          <w:rFonts w:ascii="Times New Roman" w:hAnsi="Times New Roman" w:cs="Times New Roman"/>
        </w:rPr>
        <w:footnoteRef/>
      </w:r>
      <w:r w:rsidRPr="00B81D41">
        <w:rPr>
          <w:rFonts w:ascii="Times New Roman" w:hAnsi="Times New Roman" w:cs="Times New Roman"/>
        </w:rPr>
        <w:t xml:space="preserve"> </w:t>
      </w:r>
      <w:r w:rsidRPr="00B81D41">
        <w:rPr>
          <w:rFonts w:ascii="Times New Roman" w:hAnsi="Times New Roman" w:cs="Times New Roman"/>
          <w:i/>
        </w:rPr>
        <w:t>See</w:t>
      </w:r>
      <w:r w:rsidRPr="00B81D41">
        <w:rPr>
          <w:rFonts w:ascii="Times New Roman" w:hAnsi="Times New Roman" w:cs="Times New Roman"/>
        </w:rPr>
        <w:t xml:space="preserve"> </w:t>
      </w:r>
      <w:hyperlink r:id="rId9" w:history="1">
        <w:r w:rsidRPr="0032009D">
          <w:rPr>
            <w:rStyle w:val="Hyperlink"/>
            <w:rFonts w:ascii="Times New Roman" w:hAnsi="Times New Roman" w:cs="Times New Roman"/>
            <w:i/>
            <w:iCs/>
          </w:rPr>
          <w:t>Employer Health Benefits: 20</w:t>
        </w:r>
        <w:r>
          <w:rPr>
            <w:rStyle w:val="Hyperlink"/>
            <w:rFonts w:ascii="Times New Roman" w:hAnsi="Times New Roman" w:cs="Times New Roman"/>
            <w:i/>
            <w:iCs/>
          </w:rPr>
          <w:t>22</w:t>
        </w:r>
        <w:r w:rsidRPr="0032009D">
          <w:rPr>
            <w:rStyle w:val="Hyperlink"/>
            <w:rFonts w:ascii="Times New Roman" w:hAnsi="Times New Roman" w:cs="Times New Roman"/>
            <w:i/>
            <w:iCs/>
          </w:rPr>
          <w:t xml:space="preserve"> Annual Survey</w:t>
        </w:r>
      </w:hyperlink>
      <w:r w:rsidRPr="00B81D41">
        <w:rPr>
          <w:rFonts w:ascii="Times New Roman" w:hAnsi="Times New Roman" w:cs="Times New Roman"/>
        </w:rPr>
        <w:t xml:space="preserve"> (Kaiser Family Foundation</w:t>
      </w:r>
      <w:r>
        <w:rPr>
          <w:rFonts w:ascii="Times New Roman" w:hAnsi="Times New Roman" w:cs="Times New Roman"/>
        </w:rPr>
        <w:t xml:space="preserve">, Oct. 27, </w:t>
      </w:r>
      <w:r w:rsidRPr="00B81D41">
        <w:rPr>
          <w:rFonts w:ascii="Times New Roman" w:hAnsi="Times New Roman" w:cs="Times New Roman"/>
        </w:rPr>
        <w:t>20</w:t>
      </w:r>
      <w:r>
        <w:rPr>
          <w:rFonts w:ascii="Times New Roman" w:hAnsi="Times New Roman" w:cs="Times New Roman"/>
        </w:rPr>
        <w:t>22</w:t>
      </w:r>
      <w:r w:rsidRPr="00B81D41">
        <w:rPr>
          <w:rFonts w:ascii="Times New Roman" w:hAnsi="Times New Roman" w:cs="Times New Roman"/>
        </w:rPr>
        <w:t>).</w:t>
      </w:r>
    </w:p>
  </w:footnote>
  <w:footnote w:id="42">
    <w:p w14:paraId="35FE9558" w14:textId="77777777" w:rsidR="00E44B1E" w:rsidRPr="00B81D41" w:rsidRDefault="00E44B1E" w:rsidP="00E44B1E">
      <w:pPr>
        <w:pStyle w:val="FootnoteText"/>
        <w:rPr>
          <w:rFonts w:ascii="Times New Roman" w:hAnsi="Times New Roman" w:cs="Times New Roman"/>
        </w:rPr>
      </w:pPr>
      <w:r w:rsidRPr="00B81D41">
        <w:rPr>
          <w:rStyle w:val="FootnoteReference"/>
          <w:rFonts w:ascii="Times New Roman" w:hAnsi="Times New Roman" w:cs="Times New Roman"/>
        </w:rPr>
        <w:footnoteRef/>
      </w:r>
      <w:r w:rsidRPr="00B81D41">
        <w:rPr>
          <w:rFonts w:ascii="Times New Roman" w:hAnsi="Times New Roman" w:cs="Times New Roman"/>
        </w:rPr>
        <w:t xml:space="preserve"> </w:t>
      </w:r>
      <w:r w:rsidRPr="00B81D41">
        <w:rPr>
          <w:rFonts w:ascii="Times New Roman" w:hAnsi="Times New Roman" w:cs="Times New Roman"/>
          <w:i/>
        </w:rPr>
        <w:t>Id</w:t>
      </w:r>
      <w:r w:rsidRPr="00B81D41">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31CE7"/>
    <w:multiLevelType w:val="hybridMultilevel"/>
    <w:tmpl w:val="FC2CCD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E603D1"/>
    <w:multiLevelType w:val="hybridMultilevel"/>
    <w:tmpl w:val="618828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5E01DB"/>
    <w:multiLevelType w:val="hybridMultilevel"/>
    <w:tmpl w:val="C0701D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745AE3"/>
    <w:multiLevelType w:val="hybridMultilevel"/>
    <w:tmpl w:val="ACFCD3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A04DB8"/>
    <w:multiLevelType w:val="hybridMultilevel"/>
    <w:tmpl w:val="260AA3F8"/>
    <w:lvl w:ilvl="0" w:tplc="F578A29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91F2BCC"/>
    <w:multiLevelType w:val="hybridMultilevel"/>
    <w:tmpl w:val="3E3CDE9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6EC094C"/>
    <w:multiLevelType w:val="hybridMultilevel"/>
    <w:tmpl w:val="80EC7470"/>
    <w:lvl w:ilvl="0" w:tplc="528E9C8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302FDD"/>
    <w:multiLevelType w:val="hybridMultilevel"/>
    <w:tmpl w:val="ED428032"/>
    <w:lvl w:ilvl="0" w:tplc="CDD27F44">
      <w:start w:val="6"/>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1086B89"/>
    <w:multiLevelType w:val="hybridMultilevel"/>
    <w:tmpl w:val="823234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31D4529"/>
    <w:multiLevelType w:val="hybridMultilevel"/>
    <w:tmpl w:val="9CAA9D2A"/>
    <w:lvl w:ilvl="0" w:tplc="F654A486">
      <w:start w:val="9"/>
      <w:numFmt w:val="upperLetter"/>
      <w:lvlText w:val="%1."/>
      <w:lvlJc w:val="left"/>
      <w:pPr>
        <w:ind w:left="360" w:hanging="360"/>
      </w:pPr>
      <w:rPr>
        <w:rFonts w:hint="default"/>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3842A20"/>
    <w:multiLevelType w:val="hybridMultilevel"/>
    <w:tmpl w:val="12687EA2"/>
    <w:lvl w:ilvl="0" w:tplc="B502A424">
      <w:start w:val="22"/>
      <w:numFmt w:val="upperLetter"/>
      <w:lvlText w:val="%1."/>
      <w:lvlJc w:val="left"/>
      <w:pPr>
        <w:ind w:left="360" w:hanging="360"/>
      </w:pPr>
      <w:rPr>
        <w:rFonts w:hint="default"/>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5316792"/>
    <w:multiLevelType w:val="hybridMultilevel"/>
    <w:tmpl w:val="A99EB4E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83B6FC1"/>
    <w:multiLevelType w:val="hybridMultilevel"/>
    <w:tmpl w:val="2CC62B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CC87F5C"/>
    <w:multiLevelType w:val="hybridMultilevel"/>
    <w:tmpl w:val="4D980E1A"/>
    <w:lvl w:ilvl="0" w:tplc="DF681BE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ACE0072"/>
    <w:multiLevelType w:val="hybridMultilevel"/>
    <w:tmpl w:val="8D02EA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154029664">
    <w:abstractNumId w:val="14"/>
  </w:num>
  <w:num w:numId="2" w16cid:durableId="644823967">
    <w:abstractNumId w:val="0"/>
  </w:num>
  <w:num w:numId="3" w16cid:durableId="2105607925">
    <w:abstractNumId w:val="6"/>
  </w:num>
  <w:num w:numId="4" w16cid:durableId="1978876946">
    <w:abstractNumId w:val="4"/>
  </w:num>
  <w:num w:numId="5" w16cid:durableId="1730617572">
    <w:abstractNumId w:val="2"/>
  </w:num>
  <w:num w:numId="6" w16cid:durableId="102697214">
    <w:abstractNumId w:val="13"/>
  </w:num>
  <w:num w:numId="7" w16cid:durableId="1124343714">
    <w:abstractNumId w:val="1"/>
  </w:num>
  <w:num w:numId="8" w16cid:durableId="735857983">
    <w:abstractNumId w:val="12"/>
  </w:num>
  <w:num w:numId="9" w16cid:durableId="1951350303">
    <w:abstractNumId w:val="8"/>
  </w:num>
  <w:num w:numId="10" w16cid:durableId="319887553">
    <w:abstractNumId w:val="11"/>
  </w:num>
  <w:num w:numId="11" w16cid:durableId="1244799708">
    <w:abstractNumId w:val="3"/>
  </w:num>
  <w:num w:numId="12" w16cid:durableId="1838381195">
    <w:abstractNumId w:val="10"/>
  </w:num>
  <w:num w:numId="13" w16cid:durableId="70663452">
    <w:abstractNumId w:val="9"/>
  </w:num>
  <w:num w:numId="14" w16cid:durableId="1442842763">
    <w:abstractNumId w:val="7"/>
  </w:num>
  <w:num w:numId="15" w16cid:durableId="14053009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1AB"/>
    <w:rsid w:val="00006964"/>
    <w:rsid w:val="00012103"/>
    <w:rsid w:val="00016E29"/>
    <w:rsid w:val="000171DC"/>
    <w:rsid w:val="00030962"/>
    <w:rsid w:val="00031105"/>
    <w:rsid w:val="00051CAD"/>
    <w:rsid w:val="00071840"/>
    <w:rsid w:val="000854C8"/>
    <w:rsid w:val="000858B8"/>
    <w:rsid w:val="000B1A5D"/>
    <w:rsid w:val="000D0BF4"/>
    <w:rsid w:val="000D1B02"/>
    <w:rsid w:val="000D2FB3"/>
    <w:rsid w:val="000D39E2"/>
    <w:rsid w:val="000D4F97"/>
    <w:rsid w:val="000D6296"/>
    <w:rsid w:val="000E7305"/>
    <w:rsid w:val="000F5D82"/>
    <w:rsid w:val="000F6325"/>
    <w:rsid w:val="00101BB1"/>
    <w:rsid w:val="0011706A"/>
    <w:rsid w:val="0012532A"/>
    <w:rsid w:val="00131538"/>
    <w:rsid w:val="00134FDD"/>
    <w:rsid w:val="001407A1"/>
    <w:rsid w:val="00142985"/>
    <w:rsid w:val="00142A03"/>
    <w:rsid w:val="00154F4C"/>
    <w:rsid w:val="00155669"/>
    <w:rsid w:val="0019354D"/>
    <w:rsid w:val="001A4415"/>
    <w:rsid w:val="001A50B6"/>
    <w:rsid w:val="001A74D1"/>
    <w:rsid w:val="001B2A1B"/>
    <w:rsid w:val="001B40BB"/>
    <w:rsid w:val="001B57EA"/>
    <w:rsid w:val="001C04C8"/>
    <w:rsid w:val="001C1E0A"/>
    <w:rsid w:val="001C2CE1"/>
    <w:rsid w:val="001C3A0D"/>
    <w:rsid w:val="001D4266"/>
    <w:rsid w:val="001E04DE"/>
    <w:rsid w:val="001E72CD"/>
    <w:rsid w:val="001E7CE6"/>
    <w:rsid w:val="00200173"/>
    <w:rsid w:val="002014B7"/>
    <w:rsid w:val="00220FD2"/>
    <w:rsid w:val="00222D70"/>
    <w:rsid w:val="00231529"/>
    <w:rsid w:val="00240B1F"/>
    <w:rsid w:val="0025000C"/>
    <w:rsid w:val="00254610"/>
    <w:rsid w:val="00256DB0"/>
    <w:rsid w:val="00272B9E"/>
    <w:rsid w:val="0027578C"/>
    <w:rsid w:val="00280A02"/>
    <w:rsid w:val="00283FEC"/>
    <w:rsid w:val="002846E8"/>
    <w:rsid w:val="002849DE"/>
    <w:rsid w:val="00287BC4"/>
    <w:rsid w:val="00291BBD"/>
    <w:rsid w:val="00294936"/>
    <w:rsid w:val="002A22DC"/>
    <w:rsid w:val="002A43F2"/>
    <w:rsid w:val="002B2444"/>
    <w:rsid w:val="002B4C73"/>
    <w:rsid w:val="002D0595"/>
    <w:rsid w:val="002E16E9"/>
    <w:rsid w:val="002F29FA"/>
    <w:rsid w:val="002F2DE7"/>
    <w:rsid w:val="002F774E"/>
    <w:rsid w:val="00305F85"/>
    <w:rsid w:val="00306E80"/>
    <w:rsid w:val="003168B5"/>
    <w:rsid w:val="0031769E"/>
    <w:rsid w:val="00340697"/>
    <w:rsid w:val="00352EDE"/>
    <w:rsid w:val="003551BC"/>
    <w:rsid w:val="003608F9"/>
    <w:rsid w:val="00373B3A"/>
    <w:rsid w:val="00374C77"/>
    <w:rsid w:val="00375C61"/>
    <w:rsid w:val="00376490"/>
    <w:rsid w:val="00380D35"/>
    <w:rsid w:val="00381392"/>
    <w:rsid w:val="003856AA"/>
    <w:rsid w:val="003B458E"/>
    <w:rsid w:val="003B4BFD"/>
    <w:rsid w:val="003B69CA"/>
    <w:rsid w:val="003C0820"/>
    <w:rsid w:val="003C1366"/>
    <w:rsid w:val="003D6044"/>
    <w:rsid w:val="003D6B16"/>
    <w:rsid w:val="003E04E8"/>
    <w:rsid w:val="003E29AC"/>
    <w:rsid w:val="003F2D79"/>
    <w:rsid w:val="003F391C"/>
    <w:rsid w:val="003F48C0"/>
    <w:rsid w:val="004017B0"/>
    <w:rsid w:val="00423A15"/>
    <w:rsid w:val="00442C48"/>
    <w:rsid w:val="00446D59"/>
    <w:rsid w:val="004535E7"/>
    <w:rsid w:val="00457B7B"/>
    <w:rsid w:val="00461A05"/>
    <w:rsid w:val="00474185"/>
    <w:rsid w:val="0048015B"/>
    <w:rsid w:val="004802DF"/>
    <w:rsid w:val="00483833"/>
    <w:rsid w:val="004979ED"/>
    <w:rsid w:val="004C0DC6"/>
    <w:rsid w:val="004C37E9"/>
    <w:rsid w:val="004C4C5C"/>
    <w:rsid w:val="004C7999"/>
    <w:rsid w:val="004D18D8"/>
    <w:rsid w:val="004D38E9"/>
    <w:rsid w:val="004D649C"/>
    <w:rsid w:val="004E1CE5"/>
    <w:rsid w:val="004E2812"/>
    <w:rsid w:val="004E3F96"/>
    <w:rsid w:val="004E7AF8"/>
    <w:rsid w:val="004F53EC"/>
    <w:rsid w:val="0050466D"/>
    <w:rsid w:val="00506354"/>
    <w:rsid w:val="00507D1B"/>
    <w:rsid w:val="00511A97"/>
    <w:rsid w:val="00515C69"/>
    <w:rsid w:val="00515D3A"/>
    <w:rsid w:val="005172B8"/>
    <w:rsid w:val="00523C09"/>
    <w:rsid w:val="00545D6A"/>
    <w:rsid w:val="00551AC1"/>
    <w:rsid w:val="00554911"/>
    <w:rsid w:val="00575E3A"/>
    <w:rsid w:val="005807BB"/>
    <w:rsid w:val="005822E1"/>
    <w:rsid w:val="00587DE6"/>
    <w:rsid w:val="005B56BC"/>
    <w:rsid w:val="005B57C7"/>
    <w:rsid w:val="005C6F13"/>
    <w:rsid w:val="005E4EB7"/>
    <w:rsid w:val="005F1410"/>
    <w:rsid w:val="005F2150"/>
    <w:rsid w:val="005F2893"/>
    <w:rsid w:val="005F5C4C"/>
    <w:rsid w:val="005F6654"/>
    <w:rsid w:val="00620E9D"/>
    <w:rsid w:val="0062269A"/>
    <w:rsid w:val="00625AA3"/>
    <w:rsid w:val="00625F43"/>
    <w:rsid w:val="006446FD"/>
    <w:rsid w:val="00645897"/>
    <w:rsid w:val="00652DD4"/>
    <w:rsid w:val="00655CBF"/>
    <w:rsid w:val="00656ADF"/>
    <w:rsid w:val="006713D9"/>
    <w:rsid w:val="00673596"/>
    <w:rsid w:val="00682A6B"/>
    <w:rsid w:val="00694516"/>
    <w:rsid w:val="006A4FCC"/>
    <w:rsid w:val="006B055E"/>
    <w:rsid w:val="006C435F"/>
    <w:rsid w:val="006D4EBC"/>
    <w:rsid w:val="006D7603"/>
    <w:rsid w:val="006E4455"/>
    <w:rsid w:val="006F1CAB"/>
    <w:rsid w:val="006F5EBF"/>
    <w:rsid w:val="00707267"/>
    <w:rsid w:val="007219E9"/>
    <w:rsid w:val="00722D44"/>
    <w:rsid w:val="00742705"/>
    <w:rsid w:val="00746416"/>
    <w:rsid w:val="0074647F"/>
    <w:rsid w:val="00747485"/>
    <w:rsid w:val="00755E1F"/>
    <w:rsid w:val="00757442"/>
    <w:rsid w:val="0076338A"/>
    <w:rsid w:val="00766077"/>
    <w:rsid w:val="0076639F"/>
    <w:rsid w:val="00770630"/>
    <w:rsid w:val="00794F71"/>
    <w:rsid w:val="007A7FDD"/>
    <w:rsid w:val="007B1867"/>
    <w:rsid w:val="007B6D4D"/>
    <w:rsid w:val="007B7F50"/>
    <w:rsid w:val="007C239C"/>
    <w:rsid w:val="007F0BCA"/>
    <w:rsid w:val="007F4D9B"/>
    <w:rsid w:val="007F5685"/>
    <w:rsid w:val="007F7C2D"/>
    <w:rsid w:val="00803546"/>
    <w:rsid w:val="00812755"/>
    <w:rsid w:val="008128C1"/>
    <w:rsid w:val="00821850"/>
    <w:rsid w:val="008234EE"/>
    <w:rsid w:val="0082352F"/>
    <w:rsid w:val="00830D12"/>
    <w:rsid w:val="00832ECF"/>
    <w:rsid w:val="0084012B"/>
    <w:rsid w:val="00842C80"/>
    <w:rsid w:val="00854768"/>
    <w:rsid w:val="00855213"/>
    <w:rsid w:val="00856BEF"/>
    <w:rsid w:val="00864C0A"/>
    <w:rsid w:val="00865B71"/>
    <w:rsid w:val="008662CE"/>
    <w:rsid w:val="008725C4"/>
    <w:rsid w:val="00883054"/>
    <w:rsid w:val="00883C07"/>
    <w:rsid w:val="00884352"/>
    <w:rsid w:val="008A01C9"/>
    <w:rsid w:val="008A1916"/>
    <w:rsid w:val="008A4138"/>
    <w:rsid w:val="008A76FE"/>
    <w:rsid w:val="008B6843"/>
    <w:rsid w:val="008C089F"/>
    <w:rsid w:val="008C0CD8"/>
    <w:rsid w:val="008C1E9C"/>
    <w:rsid w:val="008C70A5"/>
    <w:rsid w:val="008D5DF4"/>
    <w:rsid w:val="008D5E9B"/>
    <w:rsid w:val="008D7C80"/>
    <w:rsid w:val="00901489"/>
    <w:rsid w:val="009058B4"/>
    <w:rsid w:val="009268AD"/>
    <w:rsid w:val="0093260E"/>
    <w:rsid w:val="00933835"/>
    <w:rsid w:val="0095015E"/>
    <w:rsid w:val="00952F4D"/>
    <w:rsid w:val="00955E78"/>
    <w:rsid w:val="00956654"/>
    <w:rsid w:val="00956D5C"/>
    <w:rsid w:val="00962370"/>
    <w:rsid w:val="00964E87"/>
    <w:rsid w:val="009725E1"/>
    <w:rsid w:val="009743A1"/>
    <w:rsid w:val="00976A04"/>
    <w:rsid w:val="009839D8"/>
    <w:rsid w:val="00987B4C"/>
    <w:rsid w:val="009A1784"/>
    <w:rsid w:val="009A39C7"/>
    <w:rsid w:val="009A501F"/>
    <w:rsid w:val="009B010B"/>
    <w:rsid w:val="009B29F6"/>
    <w:rsid w:val="009B6859"/>
    <w:rsid w:val="009B7ED2"/>
    <w:rsid w:val="009D0908"/>
    <w:rsid w:val="009E1187"/>
    <w:rsid w:val="009F026D"/>
    <w:rsid w:val="009F3F7A"/>
    <w:rsid w:val="00A02777"/>
    <w:rsid w:val="00A17219"/>
    <w:rsid w:val="00A41AF1"/>
    <w:rsid w:val="00A4219B"/>
    <w:rsid w:val="00A44B73"/>
    <w:rsid w:val="00A454DF"/>
    <w:rsid w:val="00A511FE"/>
    <w:rsid w:val="00A51CF9"/>
    <w:rsid w:val="00A57B2E"/>
    <w:rsid w:val="00A668FB"/>
    <w:rsid w:val="00A725B3"/>
    <w:rsid w:val="00A731BA"/>
    <w:rsid w:val="00A731C2"/>
    <w:rsid w:val="00A74CAD"/>
    <w:rsid w:val="00A7717B"/>
    <w:rsid w:val="00A83982"/>
    <w:rsid w:val="00A87C29"/>
    <w:rsid w:val="00A9049C"/>
    <w:rsid w:val="00A94EA3"/>
    <w:rsid w:val="00A968E2"/>
    <w:rsid w:val="00AA0765"/>
    <w:rsid w:val="00AB5D51"/>
    <w:rsid w:val="00AC2341"/>
    <w:rsid w:val="00AC4159"/>
    <w:rsid w:val="00AD1AF8"/>
    <w:rsid w:val="00AF5131"/>
    <w:rsid w:val="00AF6D8B"/>
    <w:rsid w:val="00AF7CCD"/>
    <w:rsid w:val="00B05550"/>
    <w:rsid w:val="00B056BD"/>
    <w:rsid w:val="00B061C0"/>
    <w:rsid w:val="00B1022E"/>
    <w:rsid w:val="00B238C2"/>
    <w:rsid w:val="00B23ECA"/>
    <w:rsid w:val="00B24806"/>
    <w:rsid w:val="00B269E8"/>
    <w:rsid w:val="00B30528"/>
    <w:rsid w:val="00B3633D"/>
    <w:rsid w:val="00B50C35"/>
    <w:rsid w:val="00B53960"/>
    <w:rsid w:val="00B56796"/>
    <w:rsid w:val="00B6208B"/>
    <w:rsid w:val="00B625A2"/>
    <w:rsid w:val="00B62D05"/>
    <w:rsid w:val="00B67BAF"/>
    <w:rsid w:val="00B74A74"/>
    <w:rsid w:val="00B8792D"/>
    <w:rsid w:val="00B9209D"/>
    <w:rsid w:val="00B956F7"/>
    <w:rsid w:val="00B95A95"/>
    <w:rsid w:val="00B9634D"/>
    <w:rsid w:val="00B97DB5"/>
    <w:rsid w:val="00BD013B"/>
    <w:rsid w:val="00BD17D6"/>
    <w:rsid w:val="00BD1B2F"/>
    <w:rsid w:val="00BD2955"/>
    <w:rsid w:val="00BE0C24"/>
    <w:rsid w:val="00BE125B"/>
    <w:rsid w:val="00BE3BD7"/>
    <w:rsid w:val="00BE6330"/>
    <w:rsid w:val="00BF78C7"/>
    <w:rsid w:val="00C000B2"/>
    <w:rsid w:val="00C004FE"/>
    <w:rsid w:val="00C051AB"/>
    <w:rsid w:val="00C11C37"/>
    <w:rsid w:val="00C157A3"/>
    <w:rsid w:val="00C31B5C"/>
    <w:rsid w:val="00C34D56"/>
    <w:rsid w:val="00C3528E"/>
    <w:rsid w:val="00C35392"/>
    <w:rsid w:val="00C363AA"/>
    <w:rsid w:val="00C36D21"/>
    <w:rsid w:val="00C458CA"/>
    <w:rsid w:val="00C57961"/>
    <w:rsid w:val="00C65894"/>
    <w:rsid w:val="00C725D6"/>
    <w:rsid w:val="00C728FB"/>
    <w:rsid w:val="00C84D35"/>
    <w:rsid w:val="00C9066F"/>
    <w:rsid w:val="00C944E6"/>
    <w:rsid w:val="00CA489B"/>
    <w:rsid w:val="00CA638E"/>
    <w:rsid w:val="00CB15AB"/>
    <w:rsid w:val="00CB1818"/>
    <w:rsid w:val="00CB5550"/>
    <w:rsid w:val="00CD18DD"/>
    <w:rsid w:val="00CE2219"/>
    <w:rsid w:val="00CE27B2"/>
    <w:rsid w:val="00CF10CE"/>
    <w:rsid w:val="00CF1BBC"/>
    <w:rsid w:val="00CF4212"/>
    <w:rsid w:val="00CF7493"/>
    <w:rsid w:val="00D13A7C"/>
    <w:rsid w:val="00D1677C"/>
    <w:rsid w:val="00D24397"/>
    <w:rsid w:val="00D314A9"/>
    <w:rsid w:val="00D36A01"/>
    <w:rsid w:val="00D36D72"/>
    <w:rsid w:val="00D4194C"/>
    <w:rsid w:val="00D43582"/>
    <w:rsid w:val="00D44CF4"/>
    <w:rsid w:val="00D50D23"/>
    <w:rsid w:val="00D54D88"/>
    <w:rsid w:val="00D566B5"/>
    <w:rsid w:val="00D75EB5"/>
    <w:rsid w:val="00D90C01"/>
    <w:rsid w:val="00D916F2"/>
    <w:rsid w:val="00D97C50"/>
    <w:rsid w:val="00DA2BB2"/>
    <w:rsid w:val="00DA3982"/>
    <w:rsid w:val="00DA3D64"/>
    <w:rsid w:val="00DA4D35"/>
    <w:rsid w:val="00DB1814"/>
    <w:rsid w:val="00DB21BF"/>
    <w:rsid w:val="00DB30C9"/>
    <w:rsid w:val="00DB78FC"/>
    <w:rsid w:val="00DD261B"/>
    <w:rsid w:val="00DF266F"/>
    <w:rsid w:val="00DF68A0"/>
    <w:rsid w:val="00E04557"/>
    <w:rsid w:val="00E04BB4"/>
    <w:rsid w:val="00E15736"/>
    <w:rsid w:val="00E2592F"/>
    <w:rsid w:val="00E44B1E"/>
    <w:rsid w:val="00E5176D"/>
    <w:rsid w:val="00E64B0B"/>
    <w:rsid w:val="00E66DDD"/>
    <w:rsid w:val="00E675A7"/>
    <w:rsid w:val="00E72DC8"/>
    <w:rsid w:val="00E81EAF"/>
    <w:rsid w:val="00E8660B"/>
    <w:rsid w:val="00E86EAD"/>
    <w:rsid w:val="00E95905"/>
    <w:rsid w:val="00EA2D31"/>
    <w:rsid w:val="00EB48EA"/>
    <w:rsid w:val="00EC186A"/>
    <w:rsid w:val="00ED30FA"/>
    <w:rsid w:val="00ED696A"/>
    <w:rsid w:val="00EE372D"/>
    <w:rsid w:val="00EF1173"/>
    <w:rsid w:val="00EF71C6"/>
    <w:rsid w:val="00F100F0"/>
    <w:rsid w:val="00F1435D"/>
    <w:rsid w:val="00F14700"/>
    <w:rsid w:val="00F255DE"/>
    <w:rsid w:val="00F36F70"/>
    <w:rsid w:val="00F450B9"/>
    <w:rsid w:val="00F50B11"/>
    <w:rsid w:val="00F618B1"/>
    <w:rsid w:val="00F61E34"/>
    <w:rsid w:val="00F63764"/>
    <w:rsid w:val="00F65606"/>
    <w:rsid w:val="00F666D7"/>
    <w:rsid w:val="00F7437C"/>
    <w:rsid w:val="00F75B3D"/>
    <w:rsid w:val="00F83DFF"/>
    <w:rsid w:val="00F92FAB"/>
    <w:rsid w:val="00FA05E1"/>
    <w:rsid w:val="00FA64AD"/>
    <w:rsid w:val="00FB2016"/>
    <w:rsid w:val="00FB513D"/>
    <w:rsid w:val="00FC20F5"/>
    <w:rsid w:val="00FC3F89"/>
    <w:rsid w:val="00FD044E"/>
    <w:rsid w:val="00FD0C36"/>
    <w:rsid w:val="00FE4A5A"/>
    <w:rsid w:val="00FE6A30"/>
    <w:rsid w:val="00FF1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D7256E"/>
  <w15:chartTrackingRefBased/>
  <w15:docId w15:val="{A03731AA-9F46-4D78-9EB7-E2F60D028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1AB"/>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2A22DC"/>
    <w:pPr>
      <w:spacing w:before="100" w:beforeAutospacing="1" w:after="100" w:afterAutospacing="1"/>
      <w:outlineLvl w:val="0"/>
    </w:pPr>
    <w:rPr>
      <w:rFonts w:eastAsia="Times New Roman"/>
      <w:b/>
      <w:bCs/>
      <w:kern w:val="36"/>
      <w:sz w:val="48"/>
      <w:szCs w:val="48"/>
    </w:rPr>
  </w:style>
  <w:style w:type="paragraph" w:styleId="Heading2">
    <w:name w:val="heading 2"/>
    <w:basedOn w:val="Normal"/>
    <w:next w:val="Normal"/>
    <w:link w:val="Heading2Char"/>
    <w:uiPriority w:val="9"/>
    <w:unhideWhenUsed/>
    <w:qFormat/>
    <w:rsid w:val="0082352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16E9"/>
    <w:rPr>
      <w:color w:val="0563C1" w:themeColor="hyperlink"/>
      <w:u w:val="single"/>
    </w:rPr>
  </w:style>
  <w:style w:type="paragraph" w:styleId="FootnoteText">
    <w:name w:val="footnote text"/>
    <w:aliases w:val="ft,Footnote Text Char1 Char1,Footnote Text Char Char1 Char,Footnote Text Char1 Char1 Char Char,Footnote Text Char Char1 Char Char1 Char,Footnote Text Char1 Char1 Char Char Char Char,Footnote Text Char1"/>
    <w:basedOn w:val="Normal"/>
    <w:link w:val="FootnoteTextChar"/>
    <w:uiPriority w:val="99"/>
    <w:unhideWhenUsed/>
    <w:rsid w:val="002E16E9"/>
    <w:rPr>
      <w:rFonts w:asciiTheme="minorHAnsi" w:hAnsiTheme="minorHAnsi" w:cstheme="minorBidi"/>
      <w:sz w:val="20"/>
      <w:szCs w:val="20"/>
    </w:rPr>
  </w:style>
  <w:style w:type="character" w:customStyle="1" w:styleId="FootnoteTextChar">
    <w:name w:val="Footnote Text Char"/>
    <w:aliases w:val="ft Char,Footnote Text Char1 Char1 Char,Footnote Text Char Char1 Char Char,Footnote Text Char1 Char1 Char Char Char,Footnote Text Char Char1 Char Char1 Char Char,Footnote Text Char1 Char1 Char Char Char Char Char"/>
    <w:basedOn w:val="DefaultParagraphFont"/>
    <w:link w:val="FootnoteText"/>
    <w:uiPriority w:val="99"/>
    <w:rsid w:val="002E16E9"/>
    <w:rPr>
      <w:sz w:val="20"/>
      <w:szCs w:val="20"/>
    </w:rPr>
  </w:style>
  <w:style w:type="character" w:styleId="FootnoteReference">
    <w:name w:val="footnote reference"/>
    <w:basedOn w:val="DefaultParagraphFont"/>
    <w:uiPriority w:val="99"/>
    <w:unhideWhenUsed/>
    <w:rsid w:val="002E16E9"/>
    <w:rPr>
      <w:vertAlign w:val="superscript"/>
    </w:rPr>
  </w:style>
  <w:style w:type="paragraph" w:styleId="BodyText">
    <w:name w:val="Body Text"/>
    <w:basedOn w:val="Normal"/>
    <w:link w:val="BodyTextChar"/>
    <w:uiPriority w:val="1"/>
    <w:qFormat/>
    <w:rsid w:val="002E16E9"/>
    <w:pPr>
      <w:spacing w:after="240"/>
    </w:pPr>
    <w:rPr>
      <w:rFonts w:cstheme="minorBidi"/>
    </w:rPr>
  </w:style>
  <w:style w:type="character" w:customStyle="1" w:styleId="BodyTextChar">
    <w:name w:val="Body Text Char"/>
    <w:basedOn w:val="DefaultParagraphFont"/>
    <w:link w:val="BodyText"/>
    <w:uiPriority w:val="1"/>
    <w:rsid w:val="002E16E9"/>
    <w:rPr>
      <w:rFonts w:ascii="Times New Roman" w:hAnsi="Times New Roman"/>
      <w:sz w:val="24"/>
      <w:szCs w:val="24"/>
    </w:rPr>
  </w:style>
  <w:style w:type="paragraph" w:styleId="ListParagraph">
    <w:name w:val="List Paragraph"/>
    <w:basedOn w:val="Normal"/>
    <w:uiPriority w:val="34"/>
    <w:qFormat/>
    <w:rsid w:val="002E16E9"/>
    <w:pPr>
      <w:spacing w:after="160" w:line="259" w:lineRule="auto"/>
      <w:ind w:left="720"/>
      <w:contextualSpacing/>
    </w:pPr>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BD1B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1B2F"/>
    <w:rPr>
      <w:rFonts w:ascii="Segoe UI" w:hAnsi="Segoe UI" w:cs="Segoe UI"/>
      <w:sz w:val="18"/>
      <w:szCs w:val="18"/>
    </w:rPr>
  </w:style>
  <w:style w:type="paragraph" w:styleId="Header">
    <w:name w:val="header"/>
    <w:basedOn w:val="Normal"/>
    <w:link w:val="HeaderChar"/>
    <w:uiPriority w:val="99"/>
    <w:unhideWhenUsed/>
    <w:rsid w:val="001B40BB"/>
    <w:pPr>
      <w:tabs>
        <w:tab w:val="center" w:pos="4680"/>
        <w:tab w:val="right" w:pos="9360"/>
      </w:tabs>
    </w:pPr>
  </w:style>
  <w:style w:type="character" w:customStyle="1" w:styleId="HeaderChar">
    <w:name w:val="Header Char"/>
    <w:basedOn w:val="DefaultParagraphFont"/>
    <w:link w:val="Header"/>
    <w:uiPriority w:val="99"/>
    <w:rsid w:val="001B40BB"/>
    <w:rPr>
      <w:rFonts w:ascii="Times New Roman" w:hAnsi="Times New Roman" w:cs="Times New Roman"/>
      <w:sz w:val="24"/>
      <w:szCs w:val="24"/>
    </w:rPr>
  </w:style>
  <w:style w:type="paragraph" w:styleId="Footer">
    <w:name w:val="footer"/>
    <w:basedOn w:val="Normal"/>
    <w:link w:val="FooterChar"/>
    <w:uiPriority w:val="99"/>
    <w:unhideWhenUsed/>
    <w:rsid w:val="001B40BB"/>
    <w:pPr>
      <w:tabs>
        <w:tab w:val="center" w:pos="4680"/>
        <w:tab w:val="right" w:pos="9360"/>
      </w:tabs>
    </w:pPr>
  </w:style>
  <w:style w:type="character" w:customStyle="1" w:styleId="FooterChar">
    <w:name w:val="Footer Char"/>
    <w:basedOn w:val="DefaultParagraphFont"/>
    <w:link w:val="Footer"/>
    <w:uiPriority w:val="99"/>
    <w:rsid w:val="001B40BB"/>
    <w:rPr>
      <w:rFonts w:ascii="Times New Roman" w:hAnsi="Times New Roman" w:cs="Times New Roman"/>
      <w:sz w:val="24"/>
      <w:szCs w:val="24"/>
    </w:rPr>
  </w:style>
  <w:style w:type="character" w:customStyle="1" w:styleId="Heading1Char">
    <w:name w:val="Heading 1 Char"/>
    <w:basedOn w:val="DefaultParagraphFont"/>
    <w:link w:val="Heading1"/>
    <w:uiPriority w:val="9"/>
    <w:rsid w:val="002A22D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2352F"/>
    <w:rPr>
      <w:rFonts w:asciiTheme="majorHAnsi" w:eastAsiaTheme="majorEastAsia" w:hAnsiTheme="majorHAnsi" w:cstheme="majorBidi"/>
      <w:color w:val="2F5496" w:themeColor="accent1" w:themeShade="BF"/>
      <w:sz w:val="26"/>
      <w:szCs w:val="26"/>
    </w:rPr>
  </w:style>
  <w:style w:type="paragraph" w:customStyle="1" w:styleId="gmail-m2130251007277228355msobodytext">
    <w:name w:val="gmail-m_2130251007277228355msobodytext"/>
    <w:basedOn w:val="Normal"/>
    <w:rsid w:val="00B061C0"/>
    <w:pPr>
      <w:spacing w:before="100" w:beforeAutospacing="1" w:after="100" w:afterAutospacing="1"/>
    </w:pPr>
    <w:rPr>
      <w:rFonts w:ascii="Calibri" w:hAnsi="Calibri" w:cs="Calibri"/>
      <w:sz w:val="22"/>
      <w:szCs w:val="22"/>
    </w:rPr>
  </w:style>
  <w:style w:type="character" w:styleId="UnresolvedMention">
    <w:name w:val="Unresolved Mention"/>
    <w:basedOn w:val="DefaultParagraphFont"/>
    <w:uiPriority w:val="99"/>
    <w:semiHidden/>
    <w:unhideWhenUsed/>
    <w:rsid w:val="00D1677C"/>
    <w:rPr>
      <w:color w:val="605E5C"/>
      <w:shd w:val="clear" w:color="auto" w:fill="E1DFDD"/>
    </w:rPr>
  </w:style>
  <w:style w:type="paragraph" w:customStyle="1" w:styleId="card-text">
    <w:name w:val="card-text"/>
    <w:basedOn w:val="Normal"/>
    <w:rsid w:val="00B62D05"/>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431703">
      <w:bodyDiv w:val="1"/>
      <w:marLeft w:val="0"/>
      <w:marRight w:val="0"/>
      <w:marTop w:val="0"/>
      <w:marBottom w:val="0"/>
      <w:divBdr>
        <w:top w:val="none" w:sz="0" w:space="0" w:color="auto"/>
        <w:left w:val="none" w:sz="0" w:space="0" w:color="auto"/>
        <w:bottom w:val="none" w:sz="0" w:space="0" w:color="auto"/>
        <w:right w:val="none" w:sz="0" w:space="0" w:color="auto"/>
      </w:divBdr>
    </w:div>
    <w:div w:id="420569794">
      <w:bodyDiv w:val="1"/>
      <w:marLeft w:val="0"/>
      <w:marRight w:val="0"/>
      <w:marTop w:val="0"/>
      <w:marBottom w:val="0"/>
      <w:divBdr>
        <w:top w:val="none" w:sz="0" w:space="0" w:color="auto"/>
        <w:left w:val="none" w:sz="0" w:space="0" w:color="auto"/>
        <w:bottom w:val="none" w:sz="0" w:space="0" w:color="auto"/>
        <w:right w:val="none" w:sz="0" w:space="0" w:color="auto"/>
      </w:divBdr>
    </w:div>
    <w:div w:id="835920585">
      <w:bodyDiv w:val="1"/>
      <w:marLeft w:val="0"/>
      <w:marRight w:val="0"/>
      <w:marTop w:val="0"/>
      <w:marBottom w:val="0"/>
      <w:divBdr>
        <w:top w:val="none" w:sz="0" w:space="0" w:color="auto"/>
        <w:left w:val="none" w:sz="0" w:space="0" w:color="auto"/>
        <w:bottom w:val="none" w:sz="0" w:space="0" w:color="auto"/>
        <w:right w:val="none" w:sz="0" w:space="0" w:color="auto"/>
      </w:divBdr>
    </w:div>
    <w:div w:id="2115634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cbo.gov/sites/default/files/114th-congress-2015-2016/reports/51130-Health_Insurance_Premiums.pdf" TargetMode="External"/><Relationship Id="rId3" Type="http://schemas.openxmlformats.org/officeDocument/2006/relationships/hyperlink" Target="https://smallbiztrends.com/2014/09/key-trends-sole-proprietorships-past-30-years.html" TargetMode="External"/><Relationship Id="rId7" Type="http://schemas.openxmlformats.org/officeDocument/2006/relationships/hyperlink" Target="https://files.kff.org/attachment/Report-Employer-Health-Benefits-2022-Annual-Survey.pdf" TargetMode="External"/><Relationship Id="rId2" Type="http://schemas.openxmlformats.org/officeDocument/2006/relationships/hyperlink" Target="https://www.thepowerofa.org/wp-content/uploads/2019/11/Condeluci_CPJ_Nov2019.pdf" TargetMode="External"/><Relationship Id="rId1" Type="http://schemas.openxmlformats.org/officeDocument/2006/relationships/hyperlink" Target="https://www.thepowerofa.org/wp-content/uploads/2019/06/Amicus-Brief-The-Coalition-to-Protect-and-Promote-Association-Health-Plans-and-AssociationHealthPlans.com_.pdf" TargetMode="External"/><Relationship Id="rId6" Type="http://schemas.openxmlformats.org/officeDocument/2006/relationships/hyperlink" Target="https://www.healthinsurance.org/glossary/health-insurance-deductible/" TargetMode="External"/><Relationship Id="rId5" Type="http://schemas.openxmlformats.org/officeDocument/2006/relationships/hyperlink" Target="https://www.cbo.gov/system/files/2021-04/57020-Public-Option.pdf" TargetMode="External"/><Relationship Id="rId4" Type="http://schemas.openxmlformats.org/officeDocument/2006/relationships/hyperlink" Target="http://avalere-health-production.s3.amazonaws.com/uploads/pdfs/1512054657_Avalere_2018_Exchange_Networks_Deductibles_Release.pdf" TargetMode="External"/><Relationship Id="rId9" Type="http://schemas.openxmlformats.org/officeDocument/2006/relationships/hyperlink" Target="https://files.kff.org/attachment/Report-Employer-Health-Benefits-2022-Annual-Surve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BEC41-5855-43BB-BE14-789BFB71E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4270</Words>
  <Characters>24340</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Condeluci</dc:creator>
  <cp:keywords/>
  <dc:description/>
  <cp:lastModifiedBy>Chris Condeluci</cp:lastModifiedBy>
  <cp:revision>2</cp:revision>
  <cp:lastPrinted>2023-09-29T22:07:00Z</cp:lastPrinted>
  <dcterms:created xsi:type="dcterms:W3CDTF">2023-09-29T23:02:00Z</dcterms:created>
  <dcterms:modified xsi:type="dcterms:W3CDTF">2023-09-29T23:02:00Z</dcterms:modified>
</cp:coreProperties>
</file>